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6CE3" w14:textId="4A488454" w:rsidR="00B72344" w:rsidRDefault="005B6DCF" w:rsidP="00B72344">
      <w:pPr>
        <w:pStyle w:val="Default"/>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Under t</w:t>
      </w:r>
      <w:r w:rsidR="00C947C0">
        <w:rPr>
          <w:rFonts w:ascii="Arial Narrow" w:eastAsiaTheme="minorEastAsia" w:hAnsi="Arial Narrow" w:cstheme="minorBidi"/>
          <w:color w:val="auto"/>
          <w:sz w:val="22"/>
          <w:szCs w:val="22"/>
        </w:rPr>
        <w:t>he</w:t>
      </w:r>
      <w:r w:rsidR="001C6246" w:rsidRPr="00FB003F">
        <w:rPr>
          <w:rFonts w:ascii="Arial Narrow" w:eastAsiaTheme="minorEastAsia" w:hAnsi="Arial Narrow" w:cstheme="minorBidi"/>
          <w:color w:val="auto"/>
          <w:sz w:val="22"/>
          <w:szCs w:val="22"/>
        </w:rPr>
        <w:t xml:space="preserve"> </w:t>
      </w:r>
      <w:hyperlink r:id="rId12" w:history="1">
        <w:r w:rsidR="001C6246" w:rsidRPr="00B22AFD">
          <w:rPr>
            <w:rFonts w:ascii="Arial Narrow" w:eastAsiaTheme="minorEastAsia" w:hAnsi="Arial Narrow" w:cstheme="minorBidi"/>
            <w:color w:val="auto"/>
            <w:sz w:val="22"/>
            <w:szCs w:val="22"/>
          </w:rPr>
          <w:t>Energy Efficiency Improvement Act of 2015</w:t>
        </w:r>
      </w:hyperlink>
      <w:r w:rsidRPr="00B22AFD">
        <w:rPr>
          <w:rFonts w:ascii="Arial Narrow" w:eastAsiaTheme="minorEastAsia" w:hAnsi="Arial Narrow" w:cstheme="minorBidi"/>
          <w:color w:val="auto"/>
          <w:sz w:val="22"/>
          <w:szCs w:val="22"/>
        </w:rPr>
        <w:t>,</w:t>
      </w:r>
      <w:r>
        <w:rPr>
          <w:rFonts w:ascii="Arial Narrow" w:eastAsiaTheme="minorEastAsia" w:hAnsi="Arial Narrow" w:cstheme="minorBidi"/>
          <w:color w:val="auto"/>
          <w:sz w:val="22"/>
          <w:szCs w:val="22"/>
        </w:rPr>
        <w:t xml:space="preserve"> </w:t>
      </w:r>
      <w:r w:rsidR="001A79E0">
        <w:rPr>
          <w:rFonts w:ascii="Arial Narrow" w:eastAsiaTheme="minorEastAsia" w:hAnsi="Arial Narrow" w:cstheme="minorBidi"/>
          <w:color w:val="auto"/>
          <w:sz w:val="22"/>
          <w:szCs w:val="22"/>
        </w:rPr>
        <w:t>the U.S. Environmental Protection Agency (</w:t>
      </w:r>
      <w:r w:rsidR="003B43E5">
        <w:rPr>
          <w:rFonts w:ascii="Arial Narrow" w:eastAsiaTheme="minorEastAsia" w:hAnsi="Arial Narrow" w:cstheme="minorBidi"/>
          <w:color w:val="auto"/>
          <w:sz w:val="22"/>
          <w:szCs w:val="22"/>
        </w:rPr>
        <w:t>EPA</w:t>
      </w:r>
      <w:r w:rsidR="001A79E0">
        <w:rPr>
          <w:rFonts w:ascii="Arial Narrow" w:eastAsiaTheme="minorEastAsia" w:hAnsi="Arial Narrow" w:cstheme="minorBidi"/>
          <w:color w:val="auto"/>
          <w:sz w:val="22"/>
          <w:szCs w:val="22"/>
        </w:rPr>
        <w:t>)</w:t>
      </w:r>
      <w:r w:rsidR="003B43E5">
        <w:rPr>
          <w:rFonts w:ascii="Arial Narrow" w:eastAsiaTheme="minorEastAsia" w:hAnsi="Arial Narrow" w:cstheme="minorBidi"/>
          <w:color w:val="auto"/>
          <w:sz w:val="22"/>
          <w:szCs w:val="22"/>
        </w:rPr>
        <w:t xml:space="preserve"> </w:t>
      </w:r>
      <w:r>
        <w:rPr>
          <w:rFonts w:ascii="Arial Narrow" w:eastAsiaTheme="minorEastAsia" w:hAnsi="Arial Narrow" w:cstheme="minorBidi"/>
          <w:color w:val="auto"/>
          <w:sz w:val="22"/>
          <w:szCs w:val="22"/>
        </w:rPr>
        <w:t xml:space="preserve">is </w:t>
      </w:r>
      <w:r w:rsidR="006A2B63">
        <w:rPr>
          <w:rFonts w:ascii="Arial Narrow" w:eastAsiaTheme="minorEastAsia" w:hAnsi="Arial Narrow" w:cstheme="minorBidi"/>
          <w:color w:val="auto"/>
          <w:sz w:val="22"/>
          <w:szCs w:val="22"/>
        </w:rPr>
        <w:t>assess</w:t>
      </w:r>
      <w:r>
        <w:rPr>
          <w:rFonts w:ascii="Arial Narrow" w:eastAsiaTheme="minorEastAsia" w:hAnsi="Arial Narrow" w:cstheme="minorBidi"/>
          <w:color w:val="auto"/>
          <w:sz w:val="22"/>
          <w:szCs w:val="22"/>
        </w:rPr>
        <w:t>ing</w:t>
      </w:r>
      <w:r w:rsidR="006A2B63">
        <w:rPr>
          <w:rFonts w:ascii="Arial Narrow" w:eastAsiaTheme="minorEastAsia" w:hAnsi="Arial Narrow" w:cstheme="minorBidi"/>
          <w:color w:val="auto"/>
          <w:sz w:val="22"/>
          <w:szCs w:val="22"/>
        </w:rPr>
        <w:t xml:space="preserve"> the opportunity </w:t>
      </w:r>
      <w:r>
        <w:rPr>
          <w:rFonts w:ascii="Arial Narrow" w:eastAsiaTheme="minorEastAsia" w:hAnsi="Arial Narrow" w:cstheme="minorBidi"/>
          <w:color w:val="auto"/>
          <w:sz w:val="22"/>
          <w:szCs w:val="22"/>
        </w:rPr>
        <w:t xml:space="preserve">to recognize </w:t>
      </w:r>
      <w:r w:rsidR="00C947C0">
        <w:rPr>
          <w:rFonts w:ascii="Arial Narrow" w:eastAsiaTheme="minorEastAsia" w:hAnsi="Arial Narrow" w:cstheme="minorBidi"/>
          <w:color w:val="auto"/>
          <w:sz w:val="22"/>
          <w:szCs w:val="22"/>
        </w:rPr>
        <w:t xml:space="preserve">efficient </w:t>
      </w:r>
      <w:r w:rsidR="006A2B63">
        <w:rPr>
          <w:rFonts w:ascii="Arial Narrow" w:eastAsiaTheme="minorEastAsia" w:hAnsi="Arial Narrow" w:cstheme="minorBidi"/>
          <w:color w:val="auto"/>
          <w:sz w:val="22"/>
          <w:szCs w:val="22"/>
        </w:rPr>
        <w:t xml:space="preserve">design and construction of </w:t>
      </w:r>
      <w:r w:rsidR="00C947C0">
        <w:rPr>
          <w:rFonts w:ascii="Arial Narrow" w:eastAsiaTheme="minorEastAsia" w:hAnsi="Arial Narrow" w:cstheme="minorBidi"/>
          <w:color w:val="auto"/>
          <w:sz w:val="22"/>
          <w:szCs w:val="22"/>
        </w:rPr>
        <w:t>tenan</w:t>
      </w:r>
      <w:r w:rsidR="0051628C">
        <w:rPr>
          <w:rFonts w:ascii="Arial Narrow" w:eastAsiaTheme="minorEastAsia" w:hAnsi="Arial Narrow" w:cstheme="minorBidi"/>
          <w:color w:val="auto"/>
          <w:sz w:val="22"/>
          <w:szCs w:val="22"/>
        </w:rPr>
        <w:t>t spaces in commercial buildings</w:t>
      </w:r>
      <w:r w:rsidR="00B72344">
        <w:rPr>
          <w:rFonts w:ascii="Arial Narrow" w:eastAsiaTheme="minorEastAsia" w:hAnsi="Arial Narrow" w:cstheme="minorBidi"/>
          <w:color w:val="auto"/>
          <w:sz w:val="22"/>
          <w:szCs w:val="22"/>
        </w:rPr>
        <w:t xml:space="preserve"> (a.k.a. “Tenant Star”)</w:t>
      </w:r>
      <w:r w:rsidR="0051628C">
        <w:rPr>
          <w:rFonts w:ascii="Arial Narrow" w:eastAsiaTheme="minorEastAsia" w:hAnsi="Arial Narrow" w:cstheme="minorBidi"/>
          <w:color w:val="auto"/>
          <w:sz w:val="22"/>
          <w:szCs w:val="22"/>
        </w:rPr>
        <w:t>.</w:t>
      </w:r>
      <w:r w:rsidR="006A2B63">
        <w:rPr>
          <w:rStyle w:val="FootnoteReference"/>
          <w:rFonts w:ascii="Arial Narrow" w:eastAsiaTheme="minorEastAsia" w:hAnsi="Arial Narrow" w:cstheme="minorBidi"/>
          <w:color w:val="auto"/>
          <w:sz w:val="22"/>
          <w:szCs w:val="22"/>
        </w:rPr>
        <w:footnoteReference w:id="1"/>
      </w:r>
      <w:r w:rsidR="006A2B63">
        <w:rPr>
          <w:rFonts w:ascii="Arial Narrow" w:eastAsiaTheme="minorEastAsia" w:hAnsi="Arial Narrow" w:cstheme="minorBidi"/>
          <w:color w:val="auto"/>
          <w:sz w:val="22"/>
          <w:szCs w:val="22"/>
        </w:rPr>
        <w:t xml:space="preserve"> </w:t>
      </w:r>
      <w:r w:rsidR="0051628C">
        <w:rPr>
          <w:rFonts w:ascii="Arial Narrow" w:eastAsiaTheme="minorEastAsia" w:hAnsi="Arial Narrow" w:cstheme="minorBidi"/>
          <w:color w:val="auto"/>
          <w:sz w:val="22"/>
          <w:szCs w:val="22"/>
        </w:rPr>
        <w:t xml:space="preserve"> This document </w:t>
      </w:r>
      <w:r w:rsidR="006A2B63">
        <w:rPr>
          <w:rFonts w:ascii="Arial Narrow" w:eastAsiaTheme="minorEastAsia" w:hAnsi="Arial Narrow" w:cstheme="minorBidi"/>
          <w:color w:val="auto"/>
          <w:sz w:val="22"/>
          <w:szCs w:val="22"/>
        </w:rPr>
        <w:t xml:space="preserve">provides background on the potential value of such recognition, </w:t>
      </w:r>
      <w:r w:rsidR="00B72344">
        <w:rPr>
          <w:rFonts w:ascii="Arial Narrow" w:eastAsiaTheme="minorEastAsia" w:hAnsi="Arial Narrow" w:cstheme="minorBidi"/>
          <w:color w:val="auto"/>
          <w:sz w:val="22"/>
          <w:szCs w:val="22"/>
        </w:rPr>
        <w:t xml:space="preserve">and </w:t>
      </w:r>
      <w:r w:rsidR="006A2B63">
        <w:rPr>
          <w:rFonts w:ascii="Arial Narrow" w:eastAsiaTheme="minorEastAsia" w:hAnsi="Arial Narrow" w:cstheme="minorBidi"/>
          <w:color w:val="auto"/>
          <w:sz w:val="22"/>
          <w:szCs w:val="22"/>
        </w:rPr>
        <w:t xml:space="preserve">outlines a </w:t>
      </w:r>
      <w:r w:rsidR="0051628C">
        <w:rPr>
          <w:rFonts w:ascii="Arial Narrow" w:eastAsiaTheme="minorEastAsia" w:hAnsi="Arial Narrow" w:cstheme="minorBidi"/>
          <w:color w:val="auto"/>
          <w:sz w:val="22"/>
          <w:szCs w:val="22"/>
        </w:rPr>
        <w:t xml:space="preserve">proposed </w:t>
      </w:r>
      <w:r w:rsidR="006A2B63">
        <w:rPr>
          <w:rFonts w:ascii="Arial Narrow" w:eastAsiaTheme="minorEastAsia" w:hAnsi="Arial Narrow" w:cstheme="minorBidi"/>
          <w:color w:val="auto"/>
          <w:sz w:val="22"/>
          <w:szCs w:val="22"/>
        </w:rPr>
        <w:t xml:space="preserve">recognition </w:t>
      </w:r>
      <w:r w:rsidR="0051628C">
        <w:rPr>
          <w:rFonts w:ascii="Arial Narrow" w:eastAsiaTheme="minorEastAsia" w:hAnsi="Arial Narrow" w:cstheme="minorBidi"/>
          <w:color w:val="auto"/>
          <w:sz w:val="22"/>
          <w:szCs w:val="22"/>
        </w:rPr>
        <w:t xml:space="preserve">structure </w:t>
      </w:r>
      <w:r w:rsidR="000C5C89">
        <w:rPr>
          <w:rFonts w:ascii="Arial Narrow" w:eastAsiaTheme="minorEastAsia" w:hAnsi="Arial Narrow" w:cstheme="minorBidi"/>
          <w:color w:val="auto"/>
          <w:sz w:val="22"/>
          <w:szCs w:val="22"/>
        </w:rPr>
        <w:t>and criteria</w:t>
      </w:r>
      <w:r w:rsidR="00F5358B">
        <w:rPr>
          <w:rFonts w:ascii="Arial Narrow" w:eastAsiaTheme="minorEastAsia" w:hAnsi="Arial Narrow" w:cstheme="minorBidi"/>
          <w:color w:val="auto"/>
          <w:sz w:val="22"/>
          <w:szCs w:val="22"/>
        </w:rPr>
        <w:t xml:space="preserve"> for recognition of tenants and other stakeholders in office spaces</w:t>
      </w:r>
      <w:r w:rsidR="0051628C">
        <w:rPr>
          <w:rFonts w:ascii="Arial Narrow" w:eastAsiaTheme="minorEastAsia" w:hAnsi="Arial Narrow" w:cstheme="minorBidi"/>
          <w:color w:val="auto"/>
          <w:sz w:val="22"/>
          <w:szCs w:val="22"/>
        </w:rPr>
        <w:t xml:space="preserve">. </w:t>
      </w:r>
      <w:r w:rsidR="00B72344">
        <w:rPr>
          <w:rFonts w:ascii="Arial Narrow" w:eastAsiaTheme="minorEastAsia" w:hAnsi="Arial Narrow" w:cstheme="minorBidi"/>
          <w:color w:val="auto"/>
          <w:sz w:val="22"/>
          <w:szCs w:val="22"/>
        </w:rPr>
        <w:t xml:space="preserve"> EPA is developing this recognition as part of the </w:t>
      </w:r>
      <w:r w:rsidR="00B72344" w:rsidRPr="00FB003F">
        <w:rPr>
          <w:rFonts w:ascii="Arial Narrow" w:eastAsiaTheme="minorEastAsia" w:hAnsi="Arial Narrow" w:cstheme="minorBidi"/>
          <w:color w:val="auto"/>
          <w:sz w:val="22"/>
          <w:szCs w:val="22"/>
        </w:rPr>
        <w:t>ENER</w:t>
      </w:r>
      <w:r w:rsidR="00B72344">
        <w:rPr>
          <w:rFonts w:ascii="Arial Narrow" w:eastAsiaTheme="minorEastAsia" w:hAnsi="Arial Narrow" w:cstheme="minorBidi"/>
          <w:color w:val="auto"/>
          <w:sz w:val="22"/>
          <w:szCs w:val="22"/>
        </w:rPr>
        <w:t>GY STAR</w:t>
      </w:r>
      <w:r w:rsidR="00B72344" w:rsidRPr="005D5985">
        <w:rPr>
          <w:rFonts w:ascii="Arial Narrow" w:eastAsiaTheme="minorEastAsia" w:hAnsi="Arial Narrow" w:cstheme="minorBidi"/>
          <w:color w:val="auto"/>
          <w:sz w:val="22"/>
          <w:szCs w:val="22"/>
          <w:vertAlign w:val="superscript"/>
        </w:rPr>
        <w:t>®</w:t>
      </w:r>
      <w:r w:rsidR="00B72344">
        <w:rPr>
          <w:rFonts w:ascii="Arial Narrow" w:eastAsiaTheme="minorEastAsia" w:hAnsi="Arial Narrow" w:cstheme="minorBidi"/>
          <w:color w:val="auto"/>
          <w:sz w:val="22"/>
          <w:szCs w:val="22"/>
        </w:rPr>
        <w:t xml:space="preserve"> program.</w:t>
      </w:r>
    </w:p>
    <w:p w14:paraId="50082744" w14:textId="77777777" w:rsidR="00B72344" w:rsidRDefault="00B72344" w:rsidP="00B72344">
      <w:pPr>
        <w:pStyle w:val="Default"/>
        <w:rPr>
          <w:rFonts w:ascii="Arial Narrow" w:hAnsi="Arial Narrow"/>
          <w:sz w:val="22"/>
          <w:szCs w:val="22"/>
        </w:rPr>
      </w:pPr>
    </w:p>
    <w:p w14:paraId="63D73DA2" w14:textId="77777777" w:rsidR="00B72344" w:rsidRPr="00FB003F" w:rsidRDefault="00B72344" w:rsidP="00B72344">
      <w:pPr>
        <w:pStyle w:val="Default"/>
        <w:rPr>
          <w:rFonts w:ascii="Arial Narrow" w:hAnsi="Arial Narrow"/>
          <w:sz w:val="22"/>
          <w:szCs w:val="22"/>
        </w:rPr>
      </w:pPr>
      <w:r w:rsidRPr="00FB003F">
        <w:rPr>
          <w:rFonts w:ascii="Arial Narrow" w:hAnsi="Arial Narrow"/>
          <w:sz w:val="22"/>
          <w:szCs w:val="22"/>
        </w:rPr>
        <w:t xml:space="preserve">When implemented, the ENERGY STAR </w:t>
      </w:r>
      <w:r>
        <w:rPr>
          <w:rFonts w:ascii="Arial Narrow" w:hAnsi="Arial Narrow"/>
          <w:sz w:val="22"/>
          <w:szCs w:val="22"/>
        </w:rPr>
        <w:t xml:space="preserve">recognition for efficient design and construction of tenant spaces aims to </w:t>
      </w:r>
      <w:r w:rsidRPr="00FB003F">
        <w:rPr>
          <w:rFonts w:ascii="Arial Narrow" w:hAnsi="Arial Narrow"/>
          <w:sz w:val="22"/>
          <w:szCs w:val="22"/>
        </w:rPr>
        <w:t>address the following objectives:</w:t>
      </w:r>
    </w:p>
    <w:p w14:paraId="53645933" w14:textId="77777777" w:rsidR="00B72344" w:rsidRPr="00FB003F" w:rsidRDefault="00B72344" w:rsidP="00B72344">
      <w:pPr>
        <w:pStyle w:val="Default"/>
        <w:numPr>
          <w:ilvl w:val="0"/>
          <w:numId w:val="7"/>
        </w:numPr>
        <w:rPr>
          <w:sz w:val="22"/>
          <w:szCs w:val="22"/>
        </w:rPr>
      </w:pPr>
      <w:r w:rsidRPr="00FB003F">
        <w:rPr>
          <w:rFonts w:ascii="Arial Narrow" w:hAnsi="Arial Narrow"/>
          <w:sz w:val="22"/>
          <w:szCs w:val="22"/>
        </w:rPr>
        <w:t xml:space="preserve">Stimulate greater market adoption of energy efficiency technologies and practices specific to tenant </w:t>
      </w:r>
      <w:r>
        <w:rPr>
          <w:rFonts w:ascii="Arial Narrow" w:hAnsi="Arial Narrow"/>
          <w:sz w:val="22"/>
          <w:szCs w:val="22"/>
        </w:rPr>
        <w:t>spaces</w:t>
      </w:r>
      <w:r w:rsidRPr="00FB003F">
        <w:rPr>
          <w:rFonts w:ascii="Arial Narrow" w:hAnsi="Arial Narrow"/>
          <w:sz w:val="22"/>
          <w:szCs w:val="22"/>
        </w:rPr>
        <w:t>.</w:t>
      </w:r>
    </w:p>
    <w:p w14:paraId="4BBEE234" w14:textId="77777777" w:rsidR="00B72344" w:rsidRPr="00FB003F" w:rsidRDefault="00B72344" w:rsidP="00B72344">
      <w:pPr>
        <w:pStyle w:val="Default"/>
        <w:numPr>
          <w:ilvl w:val="0"/>
          <w:numId w:val="7"/>
        </w:numPr>
        <w:rPr>
          <w:sz w:val="22"/>
          <w:szCs w:val="22"/>
        </w:rPr>
      </w:pPr>
      <w:r w:rsidRPr="00FB003F">
        <w:rPr>
          <w:rFonts w:ascii="Arial Narrow" w:hAnsi="Arial Narrow"/>
          <w:sz w:val="22"/>
          <w:szCs w:val="22"/>
        </w:rPr>
        <w:t>Provide a mechanism to recognize tenants that voluntarily pursue high levels of energy efficiency in their spaces.</w:t>
      </w:r>
    </w:p>
    <w:p w14:paraId="74F8B536" w14:textId="77777777" w:rsidR="00B72344" w:rsidRPr="00710ACD" w:rsidRDefault="00B72344" w:rsidP="00B72344">
      <w:pPr>
        <w:pStyle w:val="Default"/>
        <w:numPr>
          <w:ilvl w:val="0"/>
          <w:numId w:val="7"/>
        </w:numPr>
        <w:spacing w:after="240"/>
      </w:pPr>
      <w:r>
        <w:rPr>
          <w:rFonts w:ascii="Arial Narrow" w:hAnsi="Arial Narrow"/>
          <w:sz w:val="22"/>
          <w:szCs w:val="22"/>
        </w:rPr>
        <w:t>Create opportunities for greater tenant-landlord engagement around energy efficiency.</w:t>
      </w:r>
    </w:p>
    <w:p w14:paraId="2CF85B5B" w14:textId="4E2BE4BA" w:rsidR="00B81BB6" w:rsidRDefault="00E315FD" w:rsidP="00B72344">
      <w:pPr>
        <w:pStyle w:val="Default"/>
        <w:spacing w:after="240"/>
        <w:rPr>
          <w:rFonts w:ascii="Arial Narrow" w:hAnsi="Arial Narrow"/>
          <w:sz w:val="22"/>
          <w:szCs w:val="22"/>
        </w:rPr>
      </w:pPr>
      <w:r>
        <w:rPr>
          <w:rFonts w:ascii="Arial Narrow" w:hAnsi="Arial Narrow"/>
          <w:sz w:val="22"/>
          <w:szCs w:val="22"/>
        </w:rPr>
        <w:t>Input from tenants, landlords, and other commercial</w:t>
      </w:r>
      <w:r w:rsidR="00F5358B">
        <w:rPr>
          <w:rFonts w:ascii="Arial Narrow" w:hAnsi="Arial Narrow"/>
          <w:sz w:val="22"/>
          <w:szCs w:val="22"/>
        </w:rPr>
        <w:t xml:space="preserve"> office</w:t>
      </w:r>
      <w:r>
        <w:rPr>
          <w:rFonts w:ascii="Arial Narrow" w:hAnsi="Arial Narrow"/>
          <w:sz w:val="22"/>
          <w:szCs w:val="22"/>
        </w:rPr>
        <w:t xml:space="preserve"> building stakeholders is critical as EPA explores development of this recognition.</w:t>
      </w:r>
      <w:r w:rsidR="00F5358B">
        <w:rPr>
          <w:rStyle w:val="FootnoteReference"/>
          <w:rFonts w:ascii="Arial Narrow" w:hAnsi="Arial Narrow"/>
          <w:sz w:val="22"/>
          <w:szCs w:val="22"/>
        </w:rPr>
        <w:footnoteReference w:id="2"/>
      </w:r>
      <w:r>
        <w:rPr>
          <w:rFonts w:ascii="Arial Narrow" w:hAnsi="Arial Narrow"/>
          <w:sz w:val="22"/>
          <w:szCs w:val="22"/>
        </w:rPr>
        <w:t xml:space="preserve"> </w:t>
      </w:r>
      <w:r w:rsidR="00B72344">
        <w:rPr>
          <w:rFonts w:ascii="Arial Narrow" w:hAnsi="Arial Narrow"/>
          <w:sz w:val="22"/>
          <w:szCs w:val="22"/>
        </w:rPr>
        <w:t xml:space="preserve">EPA will accept comments on the proposed structure and criteria for this new recognition – outlined below -- until </w:t>
      </w:r>
      <w:r w:rsidR="00353101">
        <w:rPr>
          <w:rFonts w:ascii="Arial Narrow" w:hAnsi="Arial Narrow"/>
          <w:b/>
          <w:sz w:val="22"/>
          <w:szCs w:val="22"/>
        </w:rPr>
        <w:t>November 14</w:t>
      </w:r>
      <w:r w:rsidR="00B72344" w:rsidRPr="00B81BB6">
        <w:rPr>
          <w:rFonts w:ascii="Arial Narrow" w:hAnsi="Arial Narrow"/>
          <w:b/>
          <w:sz w:val="22"/>
          <w:szCs w:val="22"/>
        </w:rPr>
        <w:t>, 2016</w:t>
      </w:r>
      <w:r w:rsidR="00B72344">
        <w:rPr>
          <w:rFonts w:ascii="Arial Narrow" w:hAnsi="Arial Narrow"/>
          <w:sz w:val="22"/>
          <w:szCs w:val="22"/>
        </w:rPr>
        <w:t>. You are welcome to comment on any aspect of the proposal; please note, however, that your responses</w:t>
      </w:r>
      <w:r w:rsidR="00F11F8A">
        <w:rPr>
          <w:rFonts w:ascii="Arial Narrow" w:hAnsi="Arial Narrow"/>
          <w:sz w:val="22"/>
          <w:szCs w:val="22"/>
        </w:rPr>
        <w:t xml:space="preserve"> to the specific questions in the Proposed Criteria section (questions are listed after the description of each criterion) and the Additional Key Questions section </w:t>
      </w:r>
      <w:r w:rsidR="00B72344">
        <w:rPr>
          <w:rFonts w:ascii="Arial Narrow" w:hAnsi="Arial Narrow"/>
          <w:sz w:val="22"/>
          <w:szCs w:val="22"/>
        </w:rPr>
        <w:t xml:space="preserve">will be especially helpful to EPA. </w:t>
      </w:r>
      <w:r w:rsidR="00B72344" w:rsidRPr="00890AC0">
        <w:rPr>
          <w:rFonts w:ascii="Arial Narrow" w:hAnsi="Arial Narrow"/>
          <w:b/>
          <w:sz w:val="22"/>
          <w:szCs w:val="22"/>
        </w:rPr>
        <w:t>Please submit comments electronically to</w:t>
      </w:r>
      <w:r w:rsidR="00B81BB6" w:rsidRPr="00890AC0">
        <w:rPr>
          <w:rFonts w:ascii="Arial Narrow" w:hAnsi="Arial Narrow"/>
          <w:b/>
          <w:sz w:val="22"/>
          <w:szCs w:val="22"/>
        </w:rPr>
        <w:t xml:space="preserve">: </w:t>
      </w:r>
      <w:hyperlink r:id="rId13" w:history="1">
        <w:r w:rsidR="00B81BB6" w:rsidRPr="00890AC0">
          <w:rPr>
            <w:rStyle w:val="Hyperlink"/>
            <w:rFonts w:ascii="Arial Narrow" w:hAnsi="Arial Narrow"/>
            <w:b/>
            <w:sz w:val="22"/>
            <w:szCs w:val="22"/>
          </w:rPr>
          <w:t>tenantrecognition@energystar.gov</w:t>
        </w:r>
      </w:hyperlink>
      <w:r w:rsidR="00B81BB6">
        <w:rPr>
          <w:rFonts w:ascii="Arial Narrow" w:hAnsi="Arial Narrow"/>
          <w:sz w:val="22"/>
          <w:szCs w:val="22"/>
        </w:rPr>
        <w:t>.</w:t>
      </w:r>
    </w:p>
    <w:p w14:paraId="4A74ED98" w14:textId="02CBCF7E" w:rsidR="00F71261" w:rsidRDefault="00E315FD" w:rsidP="00F71261">
      <w:pPr>
        <w:pStyle w:val="Default"/>
        <w:spacing w:after="240"/>
        <w:rPr>
          <w:rFonts w:ascii="Arial Narrow" w:hAnsi="Arial Narrow"/>
          <w:sz w:val="22"/>
          <w:szCs w:val="22"/>
        </w:rPr>
      </w:pPr>
      <w:r>
        <w:rPr>
          <w:rFonts w:ascii="Arial Narrow" w:hAnsi="Arial Narrow"/>
          <w:sz w:val="22"/>
          <w:szCs w:val="22"/>
        </w:rPr>
        <w:t>Depending on the input</w:t>
      </w:r>
      <w:r w:rsidR="00DD677B">
        <w:rPr>
          <w:rFonts w:ascii="Arial Narrow" w:hAnsi="Arial Narrow"/>
          <w:sz w:val="22"/>
          <w:szCs w:val="22"/>
        </w:rPr>
        <w:t xml:space="preserve"> received</w:t>
      </w:r>
      <w:r>
        <w:rPr>
          <w:rFonts w:ascii="Arial Narrow" w:hAnsi="Arial Narrow"/>
          <w:sz w:val="22"/>
          <w:szCs w:val="22"/>
        </w:rPr>
        <w:t>, EPA may finalize the structure and criteria for the recognition by the end of 2016, and make the recognition available in the market by the end of 2017.</w:t>
      </w:r>
    </w:p>
    <w:p w14:paraId="5FE3BE22" w14:textId="77777777" w:rsidR="00F71261" w:rsidRPr="00F71261" w:rsidRDefault="00F71261" w:rsidP="00F71261">
      <w:pPr>
        <w:pStyle w:val="Title"/>
        <w:rPr>
          <w:rStyle w:val="IntenseReference"/>
          <w:sz w:val="22"/>
          <w:szCs w:val="22"/>
        </w:rPr>
      </w:pPr>
    </w:p>
    <w:p w14:paraId="759444DC" w14:textId="7ECD7077" w:rsidR="006A2B63" w:rsidRPr="00A34376" w:rsidRDefault="00A8328B" w:rsidP="00F71261">
      <w:pPr>
        <w:pStyle w:val="Title"/>
        <w:rPr>
          <w:rStyle w:val="IntenseReference"/>
          <w:sz w:val="32"/>
          <w:szCs w:val="32"/>
        </w:rPr>
      </w:pPr>
      <w:r>
        <w:rPr>
          <w:rStyle w:val="IntenseReference"/>
          <w:sz w:val="32"/>
          <w:szCs w:val="32"/>
        </w:rPr>
        <w:t>why energy star tenant recognition?</w:t>
      </w:r>
    </w:p>
    <w:p w14:paraId="668A711A" w14:textId="2F46CB75" w:rsidR="00B22AFD" w:rsidRDefault="00B22AFD" w:rsidP="00F71261">
      <w:pPr>
        <w:pStyle w:val="Default"/>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As a precursor to EPA’</w:t>
      </w:r>
      <w:r w:rsidR="00AC4D7D">
        <w:rPr>
          <w:rFonts w:ascii="Arial Narrow" w:eastAsiaTheme="minorEastAsia" w:hAnsi="Arial Narrow" w:cstheme="minorBidi"/>
          <w:color w:val="auto"/>
          <w:sz w:val="22"/>
          <w:szCs w:val="22"/>
        </w:rPr>
        <w:t xml:space="preserve">s development of recognition, </w:t>
      </w:r>
      <w:r>
        <w:rPr>
          <w:rFonts w:ascii="Arial Narrow" w:eastAsiaTheme="minorEastAsia" w:hAnsi="Arial Narrow" w:cstheme="minorBidi"/>
          <w:color w:val="auto"/>
          <w:sz w:val="22"/>
          <w:szCs w:val="22"/>
        </w:rPr>
        <w:t xml:space="preserve">the Energy Efficiency Improvement Act of 2015 </w:t>
      </w:r>
      <w:r w:rsidR="00A8328B">
        <w:rPr>
          <w:rFonts w:ascii="Arial Narrow" w:eastAsiaTheme="minorEastAsia" w:hAnsi="Arial Narrow" w:cstheme="minorBidi"/>
          <w:color w:val="auto"/>
          <w:sz w:val="22"/>
          <w:szCs w:val="22"/>
        </w:rPr>
        <w:t xml:space="preserve">(“the Act”) </w:t>
      </w:r>
      <w:r>
        <w:rPr>
          <w:rFonts w:ascii="Arial Narrow" w:eastAsiaTheme="minorEastAsia" w:hAnsi="Arial Narrow" w:cstheme="minorBidi"/>
          <w:color w:val="auto"/>
          <w:sz w:val="22"/>
          <w:szCs w:val="22"/>
        </w:rPr>
        <w:t>directed the Department of Energy to publish a study</w:t>
      </w:r>
      <w:r w:rsidR="00AC4D7D">
        <w:rPr>
          <w:rFonts w:ascii="Arial Narrow" w:eastAsiaTheme="minorEastAsia" w:hAnsi="Arial Narrow" w:cstheme="minorBidi"/>
          <w:color w:val="auto"/>
          <w:sz w:val="22"/>
          <w:szCs w:val="22"/>
        </w:rPr>
        <w:t xml:space="preserve"> “</w:t>
      </w:r>
      <w:r>
        <w:rPr>
          <w:rFonts w:ascii="Arial Narrow" w:eastAsiaTheme="minorEastAsia" w:hAnsi="Arial Narrow" w:cstheme="minorBidi"/>
          <w:color w:val="auto"/>
          <w:sz w:val="22"/>
          <w:szCs w:val="22"/>
        </w:rPr>
        <w:t xml:space="preserve">on the feasibility of significantly improving energy efficiency in commercial buildings through </w:t>
      </w:r>
      <w:r w:rsidR="00AC4D7D">
        <w:rPr>
          <w:rFonts w:ascii="Arial Narrow" w:eastAsiaTheme="minorEastAsia" w:hAnsi="Arial Narrow" w:cstheme="minorBidi"/>
          <w:color w:val="auto"/>
          <w:sz w:val="22"/>
          <w:szCs w:val="22"/>
        </w:rPr>
        <w:t xml:space="preserve">the </w:t>
      </w:r>
      <w:r>
        <w:rPr>
          <w:rFonts w:ascii="Arial Narrow" w:eastAsiaTheme="minorEastAsia" w:hAnsi="Arial Narrow" w:cstheme="minorBidi"/>
          <w:color w:val="auto"/>
          <w:sz w:val="22"/>
          <w:szCs w:val="22"/>
        </w:rPr>
        <w:t xml:space="preserve">design and </w:t>
      </w:r>
      <w:r w:rsidR="00AC4D7D">
        <w:rPr>
          <w:rFonts w:ascii="Arial Narrow" w:eastAsiaTheme="minorEastAsia" w:hAnsi="Arial Narrow" w:cstheme="minorBidi"/>
          <w:color w:val="auto"/>
          <w:sz w:val="22"/>
          <w:szCs w:val="22"/>
        </w:rPr>
        <w:t>construction… of separate spaces with high-performance energy efficiency measures; and encouraging owners and tenants to implement” the measures. The study</w:t>
      </w:r>
      <w:r w:rsidR="00AC4D7D">
        <w:rPr>
          <w:rStyle w:val="FootnoteReference"/>
          <w:rFonts w:ascii="Arial Narrow" w:eastAsiaTheme="minorEastAsia" w:hAnsi="Arial Narrow" w:cstheme="minorBidi"/>
          <w:color w:val="auto"/>
          <w:sz w:val="22"/>
          <w:szCs w:val="22"/>
        </w:rPr>
        <w:footnoteReference w:id="3"/>
      </w:r>
      <w:r w:rsidR="00AC4D7D">
        <w:rPr>
          <w:rFonts w:ascii="Arial Narrow" w:eastAsiaTheme="minorEastAsia" w:hAnsi="Arial Narrow" w:cstheme="minorBidi"/>
          <w:color w:val="auto"/>
          <w:sz w:val="22"/>
          <w:szCs w:val="22"/>
        </w:rPr>
        <w:t xml:space="preserve"> concludes that “greater levels of energy efficiency in tenant spaces is feasible through the use of technologies that exist in the market today</w:t>
      </w:r>
      <w:r w:rsidR="0031270F">
        <w:rPr>
          <w:rFonts w:ascii="Arial Narrow" w:eastAsiaTheme="minorEastAsia" w:hAnsi="Arial Narrow" w:cstheme="minorBidi"/>
          <w:color w:val="auto"/>
          <w:sz w:val="22"/>
          <w:szCs w:val="22"/>
        </w:rPr>
        <w:t>,</w:t>
      </w:r>
      <w:r w:rsidR="00AC4D7D">
        <w:rPr>
          <w:rFonts w:ascii="Arial Narrow" w:eastAsiaTheme="minorEastAsia" w:hAnsi="Arial Narrow" w:cstheme="minorBidi"/>
          <w:color w:val="auto"/>
          <w:sz w:val="22"/>
          <w:szCs w:val="22"/>
        </w:rPr>
        <w:t xml:space="preserve">” </w:t>
      </w:r>
      <w:r w:rsidR="0031270F">
        <w:rPr>
          <w:rFonts w:ascii="Arial Narrow" w:eastAsiaTheme="minorEastAsia" w:hAnsi="Arial Narrow" w:cstheme="minorBidi"/>
          <w:color w:val="auto"/>
          <w:sz w:val="22"/>
          <w:szCs w:val="22"/>
        </w:rPr>
        <w:t xml:space="preserve">but </w:t>
      </w:r>
      <w:r w:rsidR="00AC4D7D">
        <w:rPr>
          <w:rFonts w:ascii="Arial Narrow" w:eastAsiaTheme="minorEastAsia" w:hAnsi="Arial Narrow" w:cstheme="minorBidi"/>
          <w:color w:val="auto"/>
          <w:sz w:val="22"/>
          <w:szCs w:val="22"/>
        </w:rPr>
        <w:t>several challenges prevent widespread adoption:</w:t>
      </w:r>
    </w:p>
    <w:p w14:paraId="55070262" w14:textId="77777777" w:rsidR="00822406" w:rsidRDefault="00822406" w:rsidP="00724C2D">
      <w:pPr>
        <w:pStyle w:val="Default"/>
        <w:rPr>
          <w:rFonts w:ascii="Arial Narrow" w:eastAsiaTheme="minorEastAsia" w:hAnsi="Arial Narrow" w:cstheme="minorBidi"/>
          <w:color w:val="auto"/>
          <w:sz w:val="22"/>
          <w:szCs w:val="22"/>
        </w:rPr>
      </w:pPr>
    </w:p>
    <w:p w14:paraId="3472AA3C" w14:textId="7005FC16" w:rsidR="00AC4D7D" w:rsidRDefault="00822406" w:rsidP="00AC4D7D">
      <w:pPr>
        <w:pStyle w:val="Default"/>
        <w:numPr>
          <w:ilvl w:val="0"/>
          <w:numId w:val="33"/>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The timing and process of leasing, offering infrequent opportunities for improvements</w:t>
      </w:r>
    </w:p>
    <w:p w14:paraId="1A8B609C" w14:textId="3F43251F" w:rsidR="00822406" w:rsidRDefault="00822406" w:rsidP="00AC4D7D">
      <w:pPr>
        <w:pStyle w:val="Default"/>
        <w:numPr>
          <w:ilvl w:val="0"/>
          <w:numId w:val="33"/>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Lack of awareness of the financial benefits and opportunities</w:t>
      </w:r>
    </w:p>
    <w:p w14:paraId="30A4D9C5" w14:textId="60C518D5" w:rsidR="00822406" w:rsidRDefault="00822406" w:rsidP="00AC4D7D">
      <w:pPr>
        <w:pStyle w:val="Default"/>
        <w:numPr>
          <w:ilvl w:val="0"/>
          <w:numId w:val="33"/>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The fact that most tenants are small, disparate, and hard to reach</w:t>
      </w:r>
    </w:p>
    <w:p w14:paraId="0DF3E5D7" w14:textId="65A15205" w:rsidR="00822406" w:rsidRDefault="00822406" w:rsidP="00AC4D7D">
      <w:pPr>
        <w:pStyle w:val="Default"/>
        <w:numPr>
          <w:ilvl w:val="0"/>
          <w:numId w:val="33"/>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lastRenderedPageBreak/>
        <w:t>The ‘split-incentive’ problem, whereby a landlord may not be willing to invest in upgrades when the tenant reaps the financial benefit (or vice-versa)</w:t>
      </w:r>
    </w:p>
    <w:p w14:paraId="78D48020" w14:textId="0B444490" w:rsidR="00822406" w:rsidRDefault="00822406" w:rsidP="00AC4D7D">
      <w:pPr>
        <w:pStyle w:val="Default"/>
        <w:numPr>
          <w:ilvl w:val="0"/>
          <w:numId w:val="33"/>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Lack of energy data for tenant spaces to measure the impact of improvements</w:t>
      </w:r>
    </w:p>
    <w:p w14:paraId="4E8BB7E4" w14:textId="77777777" w:rsidR="006A2B63" w:rsidRDefault="006A2B63" w:rsidP="00724C2D">
      <w:pPr>
        <w:pStyle w:val="Default"/>
        <w:rPr>
          <w:rFonts w:ascii="Arial Narrow" w:eastAsiaTheme="minorEastAsia" w:hAnsi="Arial Narrow" w:cstheme="minorBidi"/>
          <w:color w:val="auto"/>
          <w:sz w:val="22"/>
          <w:szCs w:val="22"/>
        </w:rPr>
      </w:pPr>
    </w:p>
    <w:p w14:paraId="611A93AC" w14:textId="71FB1EF4" w:rsidR="006A2B63" w:rsidRDefault="005F303F" w:rsidP="00724C2D">
      <w:pPr>
        <w:pStyle w:val="Default"/>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One of the study’s recommendations for overcoming these c</w:t>
      </w:r>
      <w:r w:rsidR="009A4D0A">
        <w:rPr>
          <w:rFonts w:ascii="Arial Narrow" w:eastAsiaTheme="minorEastAsia" w:hAnsi="Arial Narrow" w:cstheme="minorBidi"/>
          <w:color w:val="auto"/>
          <w:sz w:val="22"/>
          <w:szCs w:val="22"/>
        </w:rPr>
        <w:t>hallenges is the “creation of a federal tenant space recognition system.” Such a recognition system, the study contends, would “provide the market with greater insight to evaluate building performance… [and] help owners, tenants, and brokers to broadcast the value of energy efficiency measures.”</w:t>
      </w:r>
    </w:p>
    <w:p w14:paraId="49DF733F" w14:textId="77777777" w:rsidR="009A4D0A" w:rsidRDefault="009A4D0A" w:rsidP="00724C2D">
      <w:pPr>
        <w:pStyle w:val="Default"/>
        <w:rPr>
          <w:rFonts w:ascii="Arial Narrow" w:eastAsiaTheme="minorEastAsia" w:hAnsi="Arial Narrow" w:cstheme="minorBidi"/>
          <w:color w:val="auto"/>
          <w:sz w:val="22"/>
          <w:szCs w:val="22"/>
        </w:rPr>
      </w:pPr>
    </w:p>
    <w:p w14:paraId="2E6A0F70" w14:textId="5EEB0E8F" w:rsidR="005F303F" w:rsidRDefault="00283BD2" w:rsidP="00724C2D">
      <w:pPr>
        <w:pStyle w:val="Default"/>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The Environmental Protection Agency’s</w:t>
      </w:r>
      <w:r w:rsidR="00A8328B">
        <w:rPr>
          <w:rFonts w:ascii="Arial Narrow" w:eastAsiaTheme="minorEastAsia" w:hAnsi="Arial Narrow" w:cstheme="minorBidi"/>
          <w:color w:val="auto"/>
          <w:sz w:val="22"/>
          <w:szCs w:val="22"/>
        </w:rPr>
        <w:t xml:space="preserve"> successful ENERGY STAR program, mentioned as a model for tenant recognition in the Act, </w:t>
      </w:r>
      <w:r>
        <w:rPr>
          <w:rFonts w:ascii="Arial Narrow" w:eastAsiaTheme="minorEastAsia" w:hAnsi="Arial Narrow" w:cstheme="minorBidi"/>
          <w:color w:val="auto"/>
          <w:sz w:val="22"/>
          <w:szCs w:val="22"/>
        </w:rPr>
        <w:t xml:space="preserve">demonstrates that recognition for </w:t>
      </w:r>
      <w:r w:rsidR="00A8328B">
        <w:rPr>
          <w:rFonts w:ascii="Arial Narrow" w:eastAsiaTheme="minorEastAsia" w:hAnsi="Arial Narrow" w:cstheme="minorBidi"/>
          <w:color w:val="auto"/>
          <w:sz w:val="22"/>
          <w:szCs w:val="22"/>
        </w:rPr>
        <w:t xml:space="preserve">achieving an objective measure of </w:t>
      </w:r>
      <w:r>
        <w:rPr>
          <w:rFonts w:ascii="Arial Narrow" w:eastAsiaTheme="minorEastAsia" w:hAnsi="Arial Narrow" w:cstheme="minorBidi"/>
          <w:color w:val="auto"/>
          <w:sz w:val="22"/>
          <w:szCs w:val="22"/>
        </w:rPr>
        <w:t>top efficiency</w:t>
      </w:r>
      <w:r w:rsidR="00A8328B">
        <w:rPr>
          <w:rFonts w:ascii="Arial Narrow" w:eastAsiaTheme="minorEastAsia" w:hAnsi="Arial Narrow" w:cstheme="minorBidi"/>
          <w:color w:val="auto"/>
          <w:sz w:val="22"/>
          <w:szCs w:val="22"/>
        </w:rPr>
        <w:t xml:space="preserve"> motivates </w:t>
      </w:r>
      <w:r>
        <w:rPr>
          <w:rFonts w:ascii="Arial Narrow" w:eastAsiaTheme="minorEastAsia" w:hAnsi="Arial Narrow" w:cstheme="minorBidi"/>
          <w:color w:val="auto"/>
          <w:sz w:val="22"/>
          <w:szCs w:val="22"/>
        </w:rPr>
        <w:t xml:space="preserve">change. </w:t>
      </w:r>
      <w:r w:rsidR="00A8328B">
        <w:rPr>
          <w:rFonts w:ascii="Arial Narrow" w:eastAsiaTheme="minorEastAsia" w:hAnsi="Arial Narrow" w:cstheme="minorBidi"/>
          <w:color w:val="auto"/>
          <w:sz w:val="22"/>
          <w:szCs w:val="22"/>
        </w:rPr>
        <w:t xml:space="preserve">This objective measure has become standard practice, with over 40 billion square feet of commercial space using ENERGY STAR Portfolio Manager. </w:t>
      </w:r>
      <w:r>
        <w:rPr>
          <w:rFonts w:ascii="Arial Narrow" w:eastAsiaTheme="minorEastAsia" w:hAnsi="Arial Narrow" w:cstheme="minorBidi"/>
          <w:color w:val="auto"/>
          <w:sz w:val="22"/>
          <w:szCs w:val="22"/>
        </w:rPr>
        <w:t>In the commercial building market, critical attributes of ENERGY STAR include:</w:t>
      </w:r>
    </w:p>
    <w:p w14:paraId="44A26C05" w14:textId="77777777" w:rsidR="00F71261" w:rsidRDefault="00F71261" w:rsidP="00724C2D">
      <w:pPr>
        <w:pStyle w:val="Default"/>
        <w:rPr>
          <w:rFonts w:ascii="Arial Narrow" w:eastAsiaTheme="minorEastAsia" w:hAnsi="Arial Narrow" w:cstheme="minorBidi"/>
          <w:color w:val="auto"/>
          <w:sz w:val="22"/>
          <w:szCs w:val="22"/>
        </w:rPr>
      </w:pPr>
    </w:p>
    <w:p w14:paraId="3099B8D3" w14:textId="77777777" w:rsidR="00205D00" w:rsidRDefault="00205D00" w:rsidP="00205D00">
      <w:pPr>
        <w:pStyle w:val="Default"/>
        <w:numPr>
          <w:ilvl w:val="0"/>
          <w:numId w:val="34"/>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A focus on whole building benchmarking, recognizing that energy performance reflects the interaction of building systems</w:t>
      </w:r>
    </w:p>
    <w:p w14:paraId="145454B1" w14:textId="77777777" w:rsidR="00205D00" w:rsidRDefault="00205D00" w:rsidP="00205D00">
      <w:pPr>
        <w:pStyle w:val="Default"/>
        <w:numPr>
          <w:ilvl w:val="0"/>
          <w:numId w:val="34"/>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A way to connect energy efficiency building design with in-use performance, through Designed to Earn the ENERGY STAR recognition</w:t>
      </w:r>
    </w:p>
    <w:p w14:paraId="6A0AE319" w14:textId="0241BC35" w:rsidR="00283BD2" w:rsidRDefault="00205D00" w:rsidP="00205D00">
      <w:pPr>
        <w:pStyle w:val="Default"/>
        <w:numPr>
          <w:ilvl w:val="0"/>
          <w:numId w:val="34"/>
        </w:numPr>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ENERGY STAR Certification for whole building in-use superior energy performance</w:t>
      </w:r>
    </w:p>
    <w:p w14:paraId="13C1B62E" w14:textId="77777777" w:rsidR="00283BD2" w:rsidRDefault="00283BD2" w:rsidP="00283BD2">
      <w:pPr>
        <w:pStyle w:val="Default"/>
        <w:rPr>
          <w:rFonts w:ascii="Arial Narrow" w:eastAsiaTheme="minorEastAsia" w:hAnsi="Arial Narrow" w:cstheme="minorBidi"/>
          <w:color w:val="auto"/>
          <w:sz w:val="22"/>
          <w:szCs w:val="22"/>
        </w:rPr>
      </w:pPr>
    </w:p>
    <w:p w14:paraId="26497417" w14:textId="7A9A7AC8" w:rsidR="00283BD2" w:rsidRDefault="00820419" w:rsidP="00724C2D">
      <w:pPr>
        <w:pStyle w:val="Default"/>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 xml:space="preserve">These hallmarks of the program have helped to move the market to greater efficiency. Nevertheless, </w:t>
      </w:r>
      <w:r w:rsidR="00A8328B">
        <w:rPr>
          <w:rFonts w:ascii="Arial Narrow" w:eastAsiaTheme="minorEastAsia" w:hAnsi="Arial Narrow" w:cstheme="minorBidi"/>
          <w:color w:val="auto"/>
          <w:sz w:val="22"/>
          <w:szCs w:val="22"/>
        </w:rPr>
        <w:t xml:space="preserve">in multi-tenant buildings, </w:t>
      </w:r>
      <w:r>
        <w:rPr>
          <w:rFonts w:ascii="Arial Narrow" w:eastAsiaTheme="minorEastAsia" w:hAnsi="Arial Narrow" w:cstheme="minorBidi"/>
          <w:color w:val="auto"/>
          <w:sz w:val="22"/>
          <w:szCs w:val="22"/>
        </w:rPr>
        <w:t xml:space="preserve">barriers remain that limit engagement between tenants and landlords, and prevent even greater market transformation. These barriers not only prevent tenants from improving their own efficiency, but also keep landlords from achieving and demonstrating whole building efficiency. In exploring tenant recognition, EPA is seeking to enhance the existing ENERGY STAR strategy – for example, by encouraging tenants to work with building owners and managers to improve efficiency, and share data to enable whole-building benchmarking – without jeopardizing the importance of </w:t>
      </w:r>
      <w:r w:rsidR="00C677AA">
        <w:rPr>
          <w:rFonts w:ascii="Arial Narrow" w:eastAsiaTheme="minorEastAsia" w:hAnsi="Arial Narrow" w:cstheme="minorBidi"/>
          <w:color w:val="auto"/>
          <w:sz w:val="22"/>
          <w:szCs w:val="22"/>
        </w:rPr>
        <w:t>whole building energy performance.</w:t>
      </w:r>
    </w:p>
    <w:p w14:paraId="13654E02" w14:textId="77777777" w:rsidR="00A8328B" w:rsidRDefault="00A8328B" w:rsidP="00724C2D">
      <w:pPr>
        <w:pStyle w:val="Default"/>
        <w:rPr>
          <w:rFonts w:ascii="Arial Narrow" w:eastAsiaTheme="minorEastAsia" w:hAnsi="Arial Narrow" w:cstheme="minorBidi"/>
          <w:color w:val="auto"/>
          <w:sz w:val="22"/>
          <w:szCs w:val="22"/>
        </w:rPr>
      </w:pPr>
    </w:p>
    <w:p w14:paraId="4CCC9DF0" w14:textId="1D6F326E" w:rsidR="00B6610A" w:rsidRDefault="00B6610A" w:rsidP="00B6610A">
      <w:pPr>
        <w:pStyle w:val="Default"/>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EPA is looking to the existing ENERGY STAR recognition framework, whereby design intent can be linked to in-</w:t>
      </w:r>
      <w:r w:rsidR="000B5731">
        <w:rPr>
          <w:rFonts w:ascii="Arial Narrow" w:eastAsiaTheme="minorEastAsia" w:hAnsi="Arial Narrow" w:cstheme="minorBidi"/>
          <w:color w:val="auto"/>
          <w:sz w:val="22"/>
          <w:szCs w:val="22"/>
        </w:rPr>
        <w:t>operation</w:t>
      </w:r>
      <w:r>
        <w:rPr>
          <w:rFonts w:ascii="Arial Narrow" w:eastAsiaTheme="minorEastAsia" w:hAnsi="Arial Narrow" w:cstheme="minorBidi"/>
          <w:color w:val="auto"/>
          <w:sz w:val="22"/>
          <w:szCs w:val="22"/>
        </w:rPr>
        <w:t xml:space="preserve"> performance. Importantly, however, without robust data on energy use in occupied tenant spaces, there is currently no way to benchmark estimated energy use at design relative to in-operation energy performance of similar spaces nationwide. Under the Energy Efficiency Improvement Act of 2015, EPA will establish an in-operation energy benchmark for tenant spaces once sufficient data becomes available.</w:t>
      </w:r>
      <w:r>
        <w:rPr>
          <w:rStyle w:val="FootnoteReference"/>
          <w:rFonts w:ascii="Arial Narrow" w:eastAsiaTheme="minorEastAsia" w:hAnsi="Arial Narrow" w:cstheme="minorBidi"/>
          <w:color w:val="auto"/>
          <w:sz w:val="22"/>
          <w:szCs w:val="22"/>
        </w:rPr>
        <w:footnoteReference w:id="4"/>
      </w:r>
    </w:p>
    <w:p w14:paraId="7A4DC9EC" w14:textId="6C9C8CA6" w:rsidR="00F81BB2" w:rsidRDefault="00F81BB2" w:rsidP="00F81BB2">
      <w:pPr>
        <w:pStyle w:val="Default"/>
        <w:rPr>
          <w:rFonts w:ascii="Arial Narrow" w:eastAsiaTheme="minorEastAsia" w:hAnsi="Arial Narrow" w:cstheme="minorBidi"/>
          <w:color w:val="auto"/>
          <w:sz w:val="22"/>
          <w:szCs w:val="22"/>
        </w:rPr>
      </w:pPr>
    </w:p>
    <w:p w14:paraId="69004571" w14:textId="77777777" w:rsidR="00F71261" w:rsidRDefault="00F71261" w:rsidP="00724C2D">
      <w:pPr>
        <w:pStyle w:val="Default"/>
        <w:rPr>
          <w:rFonts w:ascii="Arial Narrow" w:eastAsiaTheme="minorEastAsia" w:hAnsi="Arial Narrow" w:cstheme="minorBidi"/>
          <w:color w:val="auto"/>
          <w:sz w:val="22"/>
          <w:szCs w:val="22"/>
        </w:rPr>
      </w:pPr>
    </w:p>
    <w:p w14:paraId="16A224BA" w14:textId="04D440D5" w:rsidR="003C634B" w:rsidRPr="00C37177" w:rsidRDefault="003C634B" w:rsidP="00A34376">
      <w:pPr>
        <w:pStyle w:val="Title"/>
        <w:rPr>
          <w:rStyle w:val="IntenseReference"/>
          <w:sz w:val="24"/>
          <w:szCs w:val="24"/>
        </w:rPr>
      </w:pPr>
      <w:r w:rsidRPr="00A34376">
        <w:rPr>
          <w:rStyle w:val="IntenseReference"/>
          <w:sz w:val="32"/>
          <w:szCs w:val="32"/>
        </w:rPr>
        <w:t>Proposed Structure</w:t>
      </w:r>
      <w:r w:rsidR="00DF7B6B">
        <w:rPr>
          <w:rStyle w:val="IntenseReference"/>
          <w:sz w:val="32"/>
          <w:szCs w:val="32"/>
        </w:rPr>
        <w:t xml:space="preserve"> for awarding recognition</w:t>
      </w:r>
    </w:p>
    <w:p w14:paraId="1DEB6DB2" w14:textId="049F09F9" w:rsidR="001C6246" w:rsidRPr="00E71696" w:rsidRDefault="003C634B" w:rsidP="00E71696">
      <w:pPr>
        <w:pStyle w:val="Subtitle"/>
        <w:rPr>
          <w:rFonts w:ascii="Arial Narrow" w:hAnsi="Arial Narrow"/>
          <w:b/>
          <w:color w:val="auto"/>
          <w:spacing w:val="0"/>
          <w:sz w:val="24"/>
          <w:szCs w:val="24"/>
        </w:rPr>
      </w:pPr>
      <w:r w:rsidRPr="00E71696">
        <w:rPr>
          <w:rFonts w:ascii="Arial Narrow" w:hAnsi="Arial Narrow"/>
          <w:b/>
          <w:color w:val="auto"/>
          <w:spacing w:val="0"/>
          <w:sz w:val="24"/>
          <w:szCs w:val="24"/>
        </w:rPr>
        <w:t>Who Can</w:t>
      </w:r>
      <w:r w:rsidR="00BA7507">
        <w:rPr>
          <w:rFonts w:ascii="Arial Narrow" w:hAnsi="Arial Narrow"/>
          <w:b/>
          <w:color w:val="auto"/>
          <w:spacing w:val="0"/>
          <w:sz w:val="24"/>
          <w:szCs w:val="24"/>
        </w:rPr>
        <w:t xml:space="preserve"> Apply</w:t>
      </w:r>
    </w:p>
    <w:p w14:paraId="4BB7B739" w14:textId="77777777" w:rsidR="003C634B" w:rsidRDefault="003C634B" w:rsidP="003C634B">
      <w:pPr>
        <w:spacing w:after="240" w:line="240" w:lineRule="auto"/>
        <w:rPr>
          <w:rFonts w:ascii="Arial Narrow" w:eastAsiaTheme="minorHAnsi" w:hAnsi="Arial Narrow" w:cs="Calibri"/>
          <w:color w:val="000000"/>
        </w:rPr>
      </w:pPr>
      <w:r>
        <w:rPr>
          <w:rFonts w:ascii="Arial Narrow" w:eastAsiaTheme="minorHAnsi" w:hAnsi="Arial Narrow" w:cs="Calibri"/>
          <w:color w:val="000000"/>
        </w:rPr>
        <w:t>EPA anticipates awarding the recognition to tenants, with the option for landlords, designers, and possibly others involved in design, construction, and/or management of the space to be recognized along with the tenant.</w:t>
      </w:r>
    </w:p>
    <w:p w14:paraId="61FCE9BC" w14:textId="14C7BDFA" w:rsidR="003C634B" w:rsidRPr="003C634B" w:rsidRDefault="00BA7507" w:rsidP="003C634B">
      <w:pPr>
        <w:spacing w:after="240" w:line="240" w:lineRule="auto"/>
        <w:rPr>
          <w:rFonts w:ascii="Arial Narrow" w:hAnsi="Arial Narrow"/>
          <w:b/>
          <w:sz w:val="24"/>
          <w:szCs w:val="24"/>
        </w:rPr>
      </w:pPr>
      <w:r>
        <w:rPr>
          <w:rFonts w:ascii="Arial Narrow" w:hAnsi="Arial Narrow"/>
          <w:b/>
          <w:sz w:val="24"/>
          <w:szCs w:val="24"/>
        </w:rPr>
        <w:lastRenderedPageBreak/>
        <w:t xml:space="preserve">Eligible Space Types </w:t>
      </w:r>
    </w:p>
    <w:p w14:paraId="6BDC09EC" w14:textId="62532217" w:rsidR="003E18F1" w:rsidRDefault="00D01B42" w:rsidP="00724C2D">
      <w:pPr>
        <w:spacing w:after="240" w:line="240" w:lineRule="auto"/>
        <w:rPr>
          <w:rFonts w:ascii="Arial Narrow" w:eastAsiaTheme="minorHAnsi" w:hAnsi="Arial Narrow" w:cs="Calibri"/>
          <w:color w:val="000000"/>
        </w:rPr>
      </w:pPr>
      <w:r>
        <w:rPr>
          <w:rFonts w:ascii="Arial Narrow" w:eastAsiaTheme="minorHAnsi" w:hAnsi="Arial Narrow" w:cs="Calibri"/>
          <w:color w:val="000000"/>
        </w:rPr>
        <w:t>In this initial phase, t</w:t>
      </w:r>
      <w:r w:rsidR="008E689A">
        <w:rPr>
          <w:rFonts w:ascii="Arial Narrow" w:eastAsiaTheme="minorHAnsi" w:hAnsi="Arial Narrow" w:cs="Calibri"/>
          <w:color w:val="000000"/>
        </w:rPr>
        <w:t xml:space="preserve">enants of </w:t>
      </w:r>
      <w:r w:rsidR="0066798A">
        <w:rPr>
          <w:rFonts w:ascii="Arial Narrow" w:eastAsiaTheme="minorHAnsi" w:hAnsi="Arial Narrow" w:cs="Calibri"/>
          <w:color w:val="000000"/>
        </w:rPr>
        <w:t xml:space="preserve">a separate </w:t>
      </w:r>
      <w:r w:rsidR="0066798A" w:rsidRPr="00130359">
        <w:rPr>
          <w:rFonts w:ascii="Arial Narrow" w:eastAsiaTheme="minorHAnsi" w:hAnsi="Arial Narrow" w:cs="Calibri"/>
          <w:b/>
          <w:color w:val="000000"/>
        </w:rPr>
        <w:t xml:space="preserve">office </w:t>
      </w:r>
      <w:r w:rsidR="0066798A">
        <w:rPr>
          <w:rFonts w:ascii="Arial Narrow" w:eastAsiaTheme="minorHAnsi" w:hAnsi="Arial Narrow" w:cs="Calibri"/>
          <w:color w:val="000000"/>
        </w:rPr>
        <w:t xml:space="preserve">space within a </w:t>
      </w:r>
      <w:r w:rsidR="008312F1">
        <w:rPr>
          <w:rFonts w:ascii="Arial Narrow" w:eastAsiaTheme="minorHAnsi" w:hAnsi="Arial Narrow" w:cs="Calibri"/>
          <w:color w:val="000000"/>
        </w:rPr>
        <w:t xml:space="preserve">multi-tenanted </w:t>
      </w:r>
      <w:r w:rsidR="0066798A">
        <w:rPr>
          <w:rFonts w:ascii="Arial Narrow" w:eastAsiaTheme="minorHAnsi" w:hAnsi="Arial Narrow" w:cs="Calibri"/>
          <w:color w:val="000000"/>
        </w:rPr>
        <w:t>building</w:t>
      </w:r>
      <w:r w:rsidR="008E689A">
        <w:rPr>
          <w:rFonts w:ascii="Arial Narrow" w:eastAsiaTheme="minorHAnsi" w:hAnsi="Arial Narrow" w:cs="Calibri"/>
          <w:color w:val="000000"/>
        </w:rPr>
        <w:t xml:space="preserve"> </w:t>
      </w:r>
      <w:r w:rsidR="000C5C89">
        <w:rPr>
          <w:rFonts w:ascii="Arial Narrow" w:eastAsiaTheme="minorHAnsi" w:hAnsi="Arial Narrow" w:cs="Calibri"/>
          <w:color w:val="000000"/>
        </w:rPr>
        <w:t>would be</w:t>
      </w:r>
      <w:r w:rsidR="008E689A">
        <w:rPr>
          <w:rFonts w:ascii="Arial Narrow" w:eastAsiaTheme="minorHAnsi" w:hAnsi="Arial Narrow" w:cs="Calibri"/>
          <w:color w:val="000000"/>
        </w:rPr>
        <w:t xml:space="preserve"> eligible</w:t>
      </w:r>
      <w:r w:rsidR="00D33F52">
        <w:rPr>
          <w:rFonts w:ascii="Arial Narrow" w:eastAsiaTheme="minorHAnsi" w:hAnsi="Arial Narrow" w:cs="Calibri"/>
          <w:color w:val="000000"/>
        </w:rPr>
        <w:t xml:space="preserve"> to apply </w:t>
      </w:r>
      <w:r w:rsidR="008E689A">
        <w:rPr>
          <w:rFonts w:ascii="Arial Narrow" w:eastAsiaTheme="minorHAnsi" w:hAnsi="Arial Narrow" w:cs="Calibri"/>
          <w:color w:val="000000"/>
        </w:rPr>
        <w:t xml:space="preserve">for </w:t>
      </w:r>
      <w:r w:rsidR="003B43E5">
        <w:rPr>
          <w:rFonts w:ascii="Arial Narrow" w:eastAsiaTheme="minorHAnsi" w:hAnsi="Arial Narrow" w:cs="Calibri"/>
          <w:color w:val="000000"/>
        </w:rPr>
        <w:t>recognition</w:t>
      </w:r>
      <w:r w:rsidR="00D33F52">
        <w:rPr>
          <w:rFonts w:ascii="Arial Narrow" w:eastAsiaTheme="minorHAnsi" w:hAnsi="Arial Narrow" w:cs="Calibri"/>
          <w:color w:val="000000"/>
        </w:rPr>
        <w:t>.</w:t>
      </w:r>
      <w:r>
        <w:rPr>
          <w:rFonts w:ascii="Arial Narrow" w:eastAsiaTheme="minorHAnsi" w:hAnsi="Arial Narrow" w:cs="Calibri"/>
          <w:color w:val="000000"/>
        </w:rPr>
        <w:t xml:space="preserve"> </w:t>
      </w:r>
      <w:r w:rsidR="008312F1">
        <w:rPr>
          <w:rFonts w:ascii="Arial Narrow" w:eastAsiaTheme="minorHAnsi" w:hAnsi="Arial Narrow" w:cs="Calibri"/>
          <w:color w:val="000000"/>
        </w:rPr>
        <w:t xml:space="preserve">Tenants leasing an entire building </w:t>
      </w:r>
      <w:r w:rsidR="000C5C89">
        <w:rPr>
          <w:rFonts w:ascii="Arial Narrow" w:eastAsiaTheme="minorHAnsi" w:hAnsi="Arial Narrow" w:cs="Calibri"/>
          <w:color w:val="000000"/>
        </w:rPr>
        <w:t>would not be</w:t>
      </w:r>
      <w:r w:rsidR="008312F1">
        <w:rPr>
          <w:rFonts w:ascii="Arial Narrow" w:eastAsiaTheme="minorHAnsi" w:hAnsi="Arial Narrow" w:cs="Calibri"/>
          <w:color w:val="000000"/>
        </w:rPr>
        <w:t xml:space="preserve"> eligible for this new recognition.</w:t>
      </w:r>
      <w:r w:rsidR="008312F1">
        <w:rPr>
          <w:rStyle w:val="FootnoteReference"/>
          <w:rFonts w:ascii="Arial Narrow" w:eastAsiaTheme="minorHAnsi" w:hAnsi="Arial Narrow" w:cs="Calibri"/>
          <w:color w:val="000000"/>
        </w:rPr>
        <w:footnoteReference w:id="5"/>
      </w:r>
      <w:r>
        <w:rPr>
          <w:rFonts w:ascii="Arial Narrow" w:eastAsiaTheme="minorHAnsi" w:hAnsi="Arial Narrow" w:cs="Calibri"/>
          <w:color w:val="000000"/>
        </w:rPr>
        <w:t xml:space="preserve"> EPA envisions future expansion to other </w:t>
      </w:r>
      <w:r w:rsidR="008312F1">
        <w:rPr>
          <w:rFonts w:ascii="Arial Narrow" w:eastAsiaTheme="minorHAnsi" w:hAnsi="Arial Narrow" w:cs="Calibri"/>
          <w:color w:val="000000"/>
        </w:rPr>
        <w:t>types of tenants in multi-tenanted buildings</w:t>
      </w:r>
      <w:r w:rsidR="003B43E5">
        <w:rPr>
          <w:rFonts w:ascii="Arial Narrow" w:eastAsiaTheme="minorHAnsi" w:hAnsi="Arial Narrow" w:cs="Calibri"/>
          <w:color w:val="000000"/>
        </w:rPr>
        <w:t xml:space="preserve">, such as retail </w:t>
      </w:r>
      <w:r w:rsidR="008312F1">
        <w:rPr>
          <w:rFonts w:ascii="Arial Narrow" w:eastAsiaTheme="minorHAnsi" w:hAnsi="Arial Narrow" w:cs="Calibri"/>
          <w:color w:val="000000"/>
        </w:rPr>
        <w:t xml:space="preserve">stores in a shopping center </w:t>
      </w:r>
      <w:r w:rsidR="003B43E5">
        <w:rPr>
          <w:rFonts w:ascii="Arial Narrow" w:eastAsiaTheme="minorHAnsi" w:hAnsi="Arial Narrow" w:cs="Calibri"/>
          <w:color w:val="000000"/>
        </w:rPr>
        <w:t>and warehouse</w:t>
      </w:r>
      <w:r w:rsidR="008312F1">
        <w:rPr>
          <w:rFonts w:ascii="Arial Narrow" w:eastAsiaTheme="minorHAnsi" w:hAnsi="Arial Narrow" w:cs="Calibri"/>
          <w:color w:val="000000"/>
        </w:rPr>
        <w:t xml:space="preserve"> spaces</w:t>
      </w:r>
      <w:r>
        <w:rPr>
          <w:rFonts w:ascii="Arial Narrow" w:eastAsiaTheme="minorHAnsi" w:hAnsi="Arial Narrow" w:cs="Calibri"/>
          <w:color w:val="000000"/>
        </w:rPr>
        <w:t>.</w:t>
      </w:r>
    </w:p>
    <w:p w14:paraId="384D41D2" w14:textId="7594CCCC" w:rsidR="00DC72EC" w:rsidRPr="00DC72EC" w:rsidRDefault="00BA7507" w:rsidP="009160C7">
      <w:pPr>
        <w:pStyle w:val="Default"/>
        <w:rPr>
          <w:rFonts w:ascii="Arial Narrow" w:eastAsiaTheme="minorEastAsia" w:hAnsi="Arial Narrow" w:cstheme="minorBidi"/>
          <w:b/>
          <w:color w:val="auto"/>
        </w:rPr>
      </w:pPr>
      <w:r>
        <w:rPr>
          <w:rFonts w:ascii="Arial Narrow" w:eastAsiaTheme="minorEastAsia" w:hAnsi="Arial Narrow" w:cstheme="minorBidi"/>
          <w:b/>
          <w:color w:val="auto"/>
        </w:rPr>
        <w:t xml:space="preserve">Length of Time that </w:t>
      </w:r>
      <w:r w:rsidR="00DC72EC" w:rsidRPr="00DC72EC">
        <w:rPr>
          <w:rFonts w:ascii="Arial Narrow" w:eastAsiaTheme="minorEastAsia" w:hAnsi="Arial Narrow" w:cstheme="minorBidi"/>
          <w:b/>
          <w:color w:val="auto"/>
        </w:rPr>
        <w:t xml:space="preserve">Recognition </w:t>
      </w:r>
      <w:r>
        <w:rPr>
          <w:rFonts w:ascii="Arial Narrow" w:eastAsiaTheme="minorEastAsia" w:hAnsi="Arial Narrow" w:cstheme="minorBidi"/>
          <w:b/>
          <w:color w:val="auto"/>
        </w:rPr>
        <w:t xml:space="preserve">Is </w:t>
      </w:r>
      <w:r w:rsidR="00DC72EC" w:rsidRPr="00DC72EC">
        <w:rPr>
          <w:rFonts w:ascii="Arial Narrow" w:eastAsiaTheme="minorEastAsia" w:hAnsi="Arial Narrow" w:cstheme="minorBidi"/>
          <w:b/>
          <w:color w:val="auto"/>
        </w:rPr>
        <w:t>Valid</w:t>
      </w:r>
    </w:p>
    <w:p w14:paraId="3F35ADAC" w14:textId="77777777" w:rsidR="00FD0410" w:rsidRDefault="00FD0410" w:rsidP="009160C7">
      <w:pPr>
        <w:pStyle w:val="Default"/>
        <w:rPr>
          <w:rFonts w:ascii="Arial Narrow" w:hAnsi="Arial Narrow"/>
          <w:sz w:val="22"/>
          <w:szCs w:val="22"/>
        </w:rPr>
      </w:pPr>
    </w:p>
    <w:p w14:paraId="2DA6E5BF" w14:textId="75C0FF2E" w:rsidR="009160C7" w:rsidRDefault="00195C3B" w:rsidP="009160C7">
      <w:pPr>
        <w:pStyle w:val="Default"/>
        <w:rPr>
          <w:rFonts w:ascii="Arial Narrow" w:hAnsi="Arial Narrow"/>
          <w:sz w:val="22"/>
          <w:szCs w:val="22"/>
        </w:rPr>
      </w:pPr>
      <w:r>
        <w:rPr>
          <w:rFonts w:ascii="Arial Narrow" w:hAnsi="Arial Narrow"/>
          <w:sz w:val="22"/>
          <w:szCs w:val="22"/>
        </w:rPr>
        <w:t xml:space="preserve">EPA intends to date stamp the recognition according to the year of award, with no end date specified. </w:t>
      </w:r>
    </w:p>
    <w:p w14:paraId="4DE5AED6" w14:textId="77777777" w:rsidR="00C37177" w:rsidRDefault="00C37177" w:rsidP="009160C7">
      <w:pPr>
        <w:pStyle w:val="Default"/>
        <w:rPr>
          <w:rFonts w:ascii="Arial Narrow" w:eastAsiaTheme="minorEastAsia" w:hAnsi="Arial Narrow" w:cstheme="minorBidi"/>
          <w:color w:val="auto"/>
          <w:sz w:val="22"/>
          <w:szCs w:val="22"/>
        </w:rPr>
      </w:pPr>
    </w:p>
    <w:p w14:paraId="572607A6" w14:textId="77777777" w:rsidR="00F71261" w:rsidRDefault="00F71261" w:rsidP="009160C7">
      <w:pPr>
        <w:pStyle w:val="Default"/>
        <w:rPr>
          <w:rFonts w:ascii="Arial Narrow" w:eastAsiaTheme="minorEastAsia" w:hAnsi="Arial Narrow" w:cstheme="minorBidi"/>
          <w:color w:val="auto"/>
          <w:sz w:val="22"/>
          <w:szCs w:val="22"/>
        </w:rPr>
      </w:pPr>
    </w:p>
    <w:p w14:paraId="6CF20482" w14:textId="6F3D52DB" w:rsidR="00D260A6" w:rsidRPr="00A34376" w:rsidRDefault="00D260A6" w:rsidP="00A34376">
      <w:pPr>
        <w:pStyle w:val="Title"/>
        <w:rPr>
          <w:rStyle w:val="IntenseReference"/>
          <w:sz w:val="32"/>
          <w:szCs w:val="32"/>
        </w:rPr>
      </w:pPr>
      <w:r w:rsidRPr="00A34376">
        <w:rPr>
          <w:rStyle w:val="IntenseReference"/>
          <w:sz w:val="32"/>
          <w:szCs w:val="32"/>
        </w:rPr>
        <w:t>Proposed Criteria</w:t>
      </w:r>
    </w:p>
    <w:p w14:paraId="6FF45778" w14:textId="45CDF416" w:rsidR="00CE7559" w:rsidRDefault="00B51AA0" w:rsidP="00724C2D">
      <w:pPr>
        <w:spacing w:after="120" w:line="240" w:lineRule="auto"/>
        <w:rPr>
          <w:rFonts w:ascii="Arial Narrow" w:eastAsiaTheme="minorHAnsi" w:hAnsi="Arial Narrow" w:cs="Calibri"/>
          <w:color w:val="000000"/>
        </w:rPr>
      </w:pPr>
      <w:r>
        <w:rPr>
          <w:rFonts w:ascii="Arial Narrow" w:eastAsiaTheme="minorHAnsi" w:hAnsi="Arial Narrow" w:cs="Calibri"/>
          <w:color w:val="000000"/>
        </w:rPr>
        <w:t xml:space="preserve">EPA proposes that tenants </w:t>
      </w:r>
      <w:r w:rsidR="00F465EE">
        <w:rPr>
          <w:rFonts w:ascii="Arial Narrow" w:eastAsiaTheme="minorHAnsi" w:hAnsi="Arial Narrow" w:cs="Calibri"/>
          <w:color w:val="000000"/>
        </w:rPr>
        <w:t>must</w:t>
      </w:r>
      <w:r>
        <w:rPr>
          <w:rFonts w:ascii="Arial Narrow" w:eastAsiaTheme="minorHAnsi" w:hAnsi="Arial Narrow" w:cs="Calibri"/>
          <w:color w:val="000000"/>
        </w:rPr>
        <w:t xml:space="preserve"> meet the following 5 criteria to be eligible for the recognition: </w:t>
      </w:r>
    </w:p>
    <w:p w14:paraId="21A1E7E4" w14:textId="77777777" w:rsidR="00D279F7" w:rsidRPr="00FB003F" w:rsidRDefault="00D279F7" w:rsidP="00724C2D">
      <w:pPr>
        <w:spacing w:after="120" w:line="240" w:lineRule="auto"/>
        <w:rPr>
          <w:rFonts w:ascii="Arial Narrow" w:eastAsiaTheme="minorHAnsi" w:hAnsi="Arial Narrow" w:cs="Calibri"/>
          <w:color w:val="000000"/>
        </w:rPr>
      </w:pPr>
    </w:p>
    <w:tbl>
      <w:tblPr>
        <w:tblStyle w:val="GridTable5Dark-Accent11"/>
        <w:tblW w:w="10137" w:type="dxa"/>
        <w:tblInd w:w="-5" w:type="dxa"/>
        <w:tblLook w:val="0420" w:firstRow="1" w:lastRow="0" w:firstColumn="0" w:lastColumn="0" w:noHBand="0" w:noVBand="1"/>
      </w:tblPr>
      <w:tblGrid>
        <w:gridCol w:w="1710"/>
        <w:gridCol w:w="1980"/>
        <w:gridCol w:w="2070"/>
        <w:gridCol w:w="1980"/>
        <w:gridCol w:w="2397"/>
      </w:tblGrid>
      <w:tr w:rsidR="008312F1" w:rsidRPr="00D16CA3" w14:paraId="3B091A1B" w14:textId="77777777" w:rsidTr="00494550">
        <w:trPr>
          <w:cnfStyle w:val="100000000000" w:firstRow="1" w:lastRow="0" w:firstColumn="0" w:lastColumn="0" w:oddVBand="0" w:evenVBand="0" w:oddHBand="0" w:evenHBand="0" w:firstRowFirstColumn="0" w:firstRowLastColumn="0" w:lastRowFirstColumn="0" w:lastRowLastColumn="0"/>
          <w:trHeight w:val="592"/>
        </w:trPr>
        <w:tc>
          <w:tcPr>
            <w:tcW w:w="1710" w:type="dxa"/>
            <w:tcBorders>
              <w:right w:val="single" w:sz="4" w:space="0" w:color="FFFFFF" w:themeColor="background1"/>
            </w:tcBorders>
          </w:tcPr>
          <w:p w14:paraId="0BCC808C" w14:textId="31BB2D84" w:rsidR="008312F1" w:rsidRPr="00494550" w:rsidRDefault="008312F1" w:rsidP="00494550">
            <w:pPr>
              <w:pStyle w:val="ListParagraph"/>
              <w:numPr>
                <w:ilvl w:val="0"/>
                <w:numId w:val="31"/>
              </w:numPr>
              <w:spacing w:after="120"/>
              <w:rPr>
                <w:rFonts w:ascii="Arial Narrow" w:eastAsiaTheme="minorHAnsi" w:hAnsi="Arial Narrow" w:cs="Calibri"/>
              </w:rPr>
            </w:pPr>
            <w:r w:rsidRPr="00494550">
              <w:rPr>
                <w:rFonts w:ascii="Arial Narrow" w:eastAsiaTheme="minorHAnsi" w:hAnsi="Arial Narrow" w:cs="Calibri"/>
              </w:rPr>
              <w:t>Estimate Energy Use</w:t>
            </w:r>
          </w:p>
        </w:tc>
        <w:tc>
          <w:tcPr>
            <w:tcW w:w="1980" w:type="dxa"/>
            <w:tcBorders>
              <w:left w:val="single" w:sz="4" w:space="0" w:color="FFFFFF" w:themeColor="background1"/>
              <w:right w:val="single" w:sz="4" w:space="0" w:color="FFFFFF" w:themeColor="background1"/>
            </w:tcBorders>
          </w:tcPr>
          <w:p w14:paraId="3F6C2857" w14:textId="542C32B6" w:rsidR="008312F1" w:rsidRPr="00494550" w:rsidRDefault="008312F1" w:rsidP="00494550">
            <w:pPr>
              <w:pStyle w:val="ListParagraph"/>
              <w:numPr>
                <w:ilvl w:val="0"/>
                <w:numId w:val="31"/>
              </w:numPr>
              <w:spacing w:after="120"/>
              <w:rPr>
                <w:rFonts w:ascii="Arial Narrow" w:eastAsiaTheme="minorHAnsi" w:hAnsi="Arial Narrow" w:cs="Calibri"/>
              </w:rPr>
            </w:pPr>
            <w:r w:rsidRPr="00494550">
              <w:rPr>
                <w:rFonts w:ascii="Arial Narrow" w:eastAsiaTheme="minorHAnsi" w:hAnsi="Arial Narrow" w:cs="Calibri"/>
              </w:rPr>
              <w:t>Meter</w:t>
            </w:r>
          </w:p>
        </w:tc>
        <w:tc>
          <w:tcPr>
            <w:tcW w:w="2070" w:type="dxa"/>
            <w:tcBorders>
              <w:left w:val="single" w:sz="4" w:space="0" w:color="FFFFFF" w:themeColor="background1"/>
              <w:right w:val="single" w:sz="4" w:space="0" w:color="FFFFFF" w:themeColor="background1"/>
            </w:tcBorders>
          </w:tcPr>
          <w:p w14:paraId="33547543" w14:textId="5AC49D56" w:rsidR="008312F1" w:rsidRPr="00494550" w:rsidRDefault="008312F1" w:rsidP="00494550">
            <w:pPr>
              <w:pStyle w:val="ListParagraph"/>
              <w:numPr>
                <w:ilvl w:val="0"/>
                <w:numId w:val="31"/>
              </w:numPr>
              <w:spacing w:after="120"/>
              <w:rPr>
                <w:rFonts w:ascii="Arial Narrow" w:eastAsiaTheme="minorHAnsi" w:hAnsi="Arial Narrow" w:cs="Calibri"/>
              </w:rPr>
            </w:pPr>
            <w:r w:rsidRPr="00494550">
              <w:rPr>
                <w:rFonts w:ascii="Arial Narrow" w:eastAsiaTheme="minorHAnsi" w:hAnsi="Arial Narrow" w:cs="Calibri"/>
              </w:rPr>
              <w:t>Light Efficiently</w:t>
            </w:r>
          </w:p>
        </w:tc>
        <w:tc>
          <w:tcPr>
            <w:tcW w:w="1980" w:type="dxa"/>
            <w:tcBorders>
              <w:left w:val="single" w:sz="4" w:space="0" w:color="FFFFFF" w:themeColor="background1"/>
              <w:right w:val="single" w:sz="4" w:space="0" w:color="FFFFFF" w:themeColor="background1"/>
            </w:tcBorders>
          </w:tcPr>
          <w:p w14:paraId="4886430F" w14:textId="5CB38410" w:rsidR="008312F1" w:rsidRPr="00494550" w:rsidRDefault="008312F1" w:rsidP="00494550">
            <w:pPr>
              <w:pStyle w:val="ListParagraph"/>
              <w:numPr>
                <w:ilvl w:val="0"/>
                <w:numId w:val="31"/>
              </w:numPr>
              <w:spacing w:after="120"/>
              <w:rPr>
                <w:rFonts w:ascii="Arial Narrow" w:eastAsiaTheme="minorHAnsi" w:hAnsi="Arial Narrow" w:cs="Calibri"/>
              </w:rPr>
            </w:pPr>
            <w:r w:rsidRPr="00494550">
              <w:rPr>
                <w:rFonts w:ascii="Arial Narrow" w:eastAsiaTheme="minorHAnsi" w:hAnsi="Arial Narrow" w:cs="Calibri"/>
              </w:rPr>
              <w:t>Share Data</w:t>
            </w:r>
          </w:p>
        </w:tc>
        <w:tc>
          <w:tcPr>
            <w:tcW w:w="2397" w:type="dxa"/>
            <w:tcBorders>
              <w:left w:val="single" w:sz="4" w:space="0" w:color="FFFFFF" w:themeColor="background1"/>
            </w:tcBorders>
          </w:tcPr>
          <w:p w14:paraId="61C76F63" w14:textId="2FAE32FE" w:rsidR="008312F1" w:rsidRPr="00494550" w:rsidRDefault="008312F1" w:rsidP="00494550">
            <w:pPr>
              <w:pStyle w:val="ListParagraph"/>
              <w:numPr>
                <w:ilvl w:val="0"/>
                <w:numId w:val="31"/>
              </w:numPr>
              <w:spacing w:after="120"/>
              <w:rPr>
                <w:rFonts w:ascii="Arial Narrow" w:eastAsiaTheme="minorHAnsi" w:hAnsi="Arial Narrow" w:cs="Calibri"/>
                <w:color w:val="000000"/>
              </w:rPr>
            </w:pPr>
            <w:r w:rsidRPr="00494550">
              <w:rPr>
                <w:rFonts w:ascii="Arial Narrow" w:eastAsiaTheme="minorHAnsi" w:hAnsi="Arial Narrow" w:cs="Calibri"/>
              </w:rPr>
              <w:t>Purchase Efficient Equipment</w:t>
            </w:r>
          </w:p>
        </w:tc>
      </w:tr>
      <w:tr w:rsidR="008312F1" w:rsidRPr="00D16CA3" w14:paraId="536748A0" w14:textId="77777777" w:rsidTr="00494550">
        <w:trPr>
          <w:cnfStyle w:val="000000100000" w:firstRow="0" w:lastRow="0" w:firstColumn="0" w:lastColumn="0" w:oddVBand="0" w:evenVBand="0" w:oddHBand="1" w:evenHBand="0" w:firstRowFirstColumn="0" w:firstRowLastColumn="0" w:lastRowFirstColumn="0" w:lastRowLastColumn="0"/>
          <w:trHeight w:val="3403"/>
        </w:trPr>
        <w:tc>
          <w:tcPr>
            <w:tcW w:w="1710" w:type="dxa"/>
          </w:tcPr>
          <w:p w14:paraId="673B6249" w14:textId="50522292" w:rsidR="008312F1" w:rsidRPr="00494550" w:rsidRDefault="008312F1" w:rsidP="00724C2D">
            <w:pPr>
              <w:spacing w:after="120"/>
              <w:rPr>
                <w:rFonts w:ascii="Arial Narrow" w:eastAsiaTheme="minorHAnsi" w:hAnsi="Arial Narrow" w:cs="Calibri"/>
                <w:color w:val="000000"/>
              </w:rPr>
            </w:pPr>
            <w:r w:rsidRPr="00494550">
              <w:rPr>
                <w:rFonts w:ascii="Arial Narrow" w:eastAsiaTheme="minorHAnsi" w:hAnsi="Arial Narrow" w:cs="Calibri"/>
                <w:color w:val="000000"/>
              </w:rPr>
              <w:t xml:space="preserve">Provide </w:t>
            </w:r>
            <w:r w:rsidR="00274460" w:rsidRPr="00494550">
              <w:rPr>
                <w:rFonts w:ascii="Arial Narrow" w:eastAsiaTheme="minorHAnsi" w:hAnsi="Arial Narrow" w:cs="Calibri"/>
                <w:color w:val="000000"/>
              </w:rPr>
              <w:t xml:space="preserve">an </w:t>
            </w:r>
            <w:r w:rsidRPr="00494550">
              <w:rPr>
                <w:rFonts w:ascii="Arial Narrow" w:eastAsiaTheme="minorHAnsi" w:hAnsi="Arial Narrow" w:cs="Calibri"/>
                <w:color w:val="000000"/>
              </w:rPr>
              <w:t xml:space="preserve">estimate of the total energy use </w:t>
            </w:r>
            <w:r w:rsidR="00101BEA" w:rsidRPr="00494550">
              <w:rPr>
                <w:rFonts w:ascii="Arial Narrow" w:eastAsiaTheme="minorHAnsi" w:hAnsi="Arial Narrow" w:cs="Calibri"/>
                <w:color w:val="000000"/>
              </w:rPr>
              <w:t xml:space="preserve">intensity </w:t>
            </w:r>
            <w:r w:rsidRPr="00494550">
              <w:rPr>
                <w:rFonts w:ascii="Arial Narrow" w:eastAsiaTheme="minorHAnsi" w:hAnsi="Arial Narrow" w:cs="Calibri"/>
                <w:color w:val="000000"/>
              </w:rPr>
              <w:t>of the space, through an energy model or technical analysis.</w:t>
            </w:r>
          </w:p>
        </w:tc>
        <w:tc>
          <w:tcPr>
            <w:tcW w:w="1980" w:type="dxa"/>
          </w:tcPr>
          <w:p w14:paraId="6C367A9C" w14:textId="55D2CF8A" w:rsidR="008312F1" w:rsidRPr="00494550" w:rsidRDefault="008312F1" w:rsidP="00724C2D">
            <w:pPr>
              <w:spacing w:after="120"/>
              <w:rPr>
                <w:rFonts w:ascii="Arial Narrow" w:eastAsiaTheme="minorHAnsi" w:hAnsi="Arial Narrow" w:cs="Calibri"/>
                <w:color w:val="000000"/>
              </w:rPr>
            </w:pPr>
            <w:r w:rsidRPr="00494550">
              <w:rPr>
                <w:rFonts w:ascii="Arial Narrow" w:eastAsiaTheme="minorHAnsi" w:hAnsi="Arial Narrow" w:cs="Calibri"/>
                <w:color w:val="000000"/>
              </w:rPr>
              <w:t xml:space="preserve">Document that appropriate metering is in place that enables accurate monitoring and tracking of </w:t>
            </w:r>
            <w:r w:rsidR="00274460" w:rsidRPr="00494550">
              <w:rPr>
                <w:rFonts w:ascii="Arial Narrow" w:eastAsiaTheme="minorHAnsi" w:hAnsi="Arial Narrow" w:cs="Calibri"/>
                <w:color w:val="000000"/>
              </w:rPr>
              <w:t xml:space="preserve">the </w:t>
            </w:r>
            <w:r w:rsidRPr="00494550">
              <w:rPr>
                <w:rFonts w:ascii="Arial Narrow" w:eastAsiaTheme="minorHAnsi" w:hAnsi="Arial Narrow" w:cs="Calibri"/>
                <w:color w:val="000000"/>
              </w:rPr>
              <w:t>tenant</w:t>
            </w:r>
            <w:r w:rsidR="00274460" w:rsidRPr="00494550">
              <w:rPr>
                <w:rFonts w:ascii="Arial Narrow" w:eastAsiaTheme="minorHAnsi" w:hAnsi="Arial Narrow" w:cs="Calibri"/>
                <w:color w:val="000000"/>
              </w:rPr>
              <w:t>’s</w:t>
            </w:r>
            <w:r w:rsidR="00C33881" w:rsidRPr="00494550">
              <w:rPr>
                <w:rFonts w:ascii="Arial Narrow" w:eastAsiaTheme="minorHAnsi" w:hAnsi="Arial Narrow" w:cs="Calibri"/>
                <w:color w:val="000000"/>
              </w:rPr>
              <w:t xml:space="preserve"> contribution</w:t>
            </w:r>
            <w:r w:rsidRPr="00494550">
              <w:rPr>
                <w:rFonts w:ascii="Arial Narrow" w:eastAsiaTheme="minorHAnsi" w:hAnsi="Arial Narrow" w:cs="Calibri"/>
                <w:color w:val="000000"/>
              </w:rPr>
              <w:t xml:space="preserve"> to total building energy use.</w:t>
            </w:r>
          </w:p>
        </w:tc>
        <w:tc>
          <w:tcPr>
            <w:tcW w:w="2070" w:type="dxa"/>
          </w:tcPr>
          <w:p w14:paraId="010AA8B0" w14:textId="5BDE0C4C" w:rsidR="008312F1" w:rsidRPr="00494550" w:rsidRDefault="008312F1" w:rsidP="00724C2D">
            <w:pPr>
              <w:spacing w:after="120"/>
              <w:rPr>
                <w:rFonts w:ascii="Arial Narrow" w:eastAsiaTheme="minorHAnsi" w:hAnsi="Arial Narrow" w:cs="Calibri"/>
                <w:color w:val="000000"/>
              </w:rPr>
            </w:pPr>
            <w:r w:rsidRPr="00494550">
              <w:rPr>
                <w:rFonts w:ascii="Arial Narrow" w:hAnsi="Arial Narrow"/>
                <w:i/>
              </w:rPr>
              <w:t xml:space="preserve">Option </w:t>
            </w:r>
            <w:r w:rsidR="00031EF6" w:rsidRPr="00494550">
              <w:rPr>
                <w:rFonts w:ascii="Arial Narrow" w:hAnsi="Arial Narrow"/>
                <w:i/>
              </w:rPr>
              <w:t>O</w:t>
            </w:r>
            <w:r w:rsidRPr="00494550">
              <w:rPr>
                <w:rFonts w:ascii="Arial Narrow" w:hAnsi="Arial Narrow"/>
                <w:i/>
              </w:rPr>
              <w:t>ne:</w:t>
            </w:r>
            <w:r w:rsidRPr="00494550">
              <w:rPr>
                <w:rFonts w:ascii="Arial Narrow" w:hAnsi="Arial Narrow"/>
              </w:rPr>
              <w:t xml:space="preserve"> Document that the projected lighting energy use intensity for the tenant space is below </w:t>
            </w:r>
            <w:r w:rsidR="00031EF6" w:rsidRPr="00494550">
              <w:rPr>
                <w:rFonts w:ascii="Arial Narrow" w:hAnsi="Arial Narrow"/>
              </w:rPr>
              <w:t>a</w:t>
            </w:r>
            <w:r w:rsidRPr="00494550">
              <w:rPr>
                <w:rFonts w:ascii="Arial Narrow" w:hAnsi="Arial Narrow"/>
              </w:rPr>
              <w:t xml:space="preserve"> specified level. </w:t>
            </w:r>
          </w:p>
          <w:p w14:paraId="10F61EB7" w14:textId="5CEC5403" w:rsidR="008312F1" w:rsidRPr="00494550" w:rsidRDefault="00031EF6" w:rsidP="00F34096">
            <w:pPr>
              <w:spacing w:after="120"/>
              <w:rPr>
                <w:rFonts w:ascii="Arial Narrow" w:eastAsiaTheme="minorHAnsi" w:hAnsi="Arial Narrow" w:cs="Calibri"/>
                <w:color w:val="000000"/>
              </w:rPr>
            </w:pPr>
            <w:r w:rsidRPr="00494550">
              <w:rPr>
                <w:rFonts w:ascii="Arial Narrow" w:eastAsiaTheme="minorHAnsi" w:hAnsi="Arial Narrow" w:cs="Calibri"/>
                <w:i/>
                <w:color w:val="000000"/>
              </w:rPr>
              <w:t>Option T</w:t>
            </w:r>
            <w:r w:rsidR="008312F1" w:rsidRPr="00494550">
              <w:rPr>
                <w:rFonts w:ascii="Arial Narrow" w:eastAsiaTheme="minorHAnsi" w:hAnsi="Arial Narrow" w:cs="Calibri"/>
                <w:i/>
                <w:color w:val="000000"/>
              </w:rPr>
              <w:t xml:space="preserve">wo: </w:t>
            </w:r>
            <w:r w:rsidR="008312F1" w:rsidRPr="00494550">
              <w:rPr>
                <w:rFonts w:ascii="Arial Narrow" w:eastAsiaTheme="minorHAnsi" w:hAnsi="Arial Narrow" w:cs="Calibri"/>
                <w:color w:val="000000"/>
              </w:rPr>
              <w:t>Document that all installed lighting within the space consists of LED technology</w:t>
            </w:r>
            <w:r w:rsidR="00F34096" w:rsidRPr="00494550">
              <w:rPr>
                <w:rFonts w:ascii="Arial Narrow" w:eastAsiaTheme="minorHAnsi" w:hAnsi="Arial Narrow" w:cs="Calibri"/>
                <w:color w:val="000000"/>
              </w:rPr>
              <w:t>.</w:t>
            </w:r>
          </w:p>
        </w:tc>
        <w:tc>
          <w:tcPr>
            <w:tcW w:w="1980" w:type="dxa"/>
          </w:tcPr>
          <w:p w14:paraId="537D93CA" w14:textId="7BC430FD" w:rsidR="008312F1" w:rsidRPr="00494550" w:rsidRDefault="008312F1" w:rsidP="00B34869">
            <w:pPr>
              <w:spacing w:after="120"/>
              <w:rPr>
                <w:rFonts w:ascii="Arial Narrow" w:eastAsiaTheme="minorHAnsi" w:hAnsi="Arial Narrow" w:cs="Calibri"/>
                <w:color w:val="000000"/>
              </w:rPr>
            </w:pPr>
            <w:r w:rsidRPr="00494550">
              <w:rPr>
                <w:rFonts w:ascii="Arial Narrow" w:eastAsiaTheme="minorHAnsi" w:hAnsi="Arial Narrow" w:cs="Calibri"/>
                <w:color w:val="000000"/>
              </w:rPr>
              <w:t>Document</w:t>
            </w:r>
            <w:r w:rsidR="00F34096" w:rsidRPr="00494550">
              <w:rPr>
                <w:rFonts w:ascii="Arial Narrow" w:eastAsiaTheme="minorHAnsi" w:hAnsi="Arial Narrow" w:cs="Calibri"/>
                <w:color w:val="000000"/>
              </w:rPr>
              <w:t>,</w:t>
            </w:r>
            <w:r w:rsidRPr="00494550">
              <w:rPr>
                <w:rFonts w:ascii="Arial Narrow" w:eastAsiaTheme="minorHAnsi" w:hAnsi="Arial Narrow" w:cs="Calibri"/>
                <w:color w:val="000000"/>
              </w:rPr>
              <w:t xml:space="preserve"> </w:t>
            </w:r>
            <w:r w:rsidR="00F34096" w:rsidRPr="00494550">
              <w:rPr>
                <w:rFonts w:ascii="Arial Narrow" w:eastAsiaTheme="minorHAnsi" w:hAnsi="Arial Narrow" w:cs="Calibri"/>
                <w:color w:val="000000"/>
              </w:rPr>
              <w:t>through the executed lease or other authorization</w:t>
            </w:r>
            <w:r w:rsidR="0086431C" w:rsidRPr="00494550">
              <w:rPr>
                <w:rFonts w:ascii="Arial Narrow" w:eastAsiaTheme="minorHAnsi" w:hAnsi="Arial Narrow" w:cs="Calibri"/>
                <w:color w:val="000000"/>
              </w:rPr>
              <w:t xml:space="preserve"> </w:t>
            </w:r>
            <w:r w:rsidRPr="00494550">
              <w:rPr>
                <w:rFonts w:ascii="Arial Narrow" w:eastAsiaTheme="minorHAnsi" w:hAnsi="Arial Narrow" w:cs="Calibri"/>
                <w:color w:val="000000"/>
              </w:rPr>
              <w:t xml:space="preserve">that the </w:t>
            </w:r>
            <w:r w:rsidR="00F34096" w:rsidRPr="00494550">
              <w:rPr>
                <w:rFonts w:ascii="Arial Narrow" w:eastAsiaTheme="minorHAnsi" w:hAnsi="Arial Narrow" w:cs="Calibri"/>
                <w:color w:val="000000"/>
              </w:rPr>
              <w:t xml:space="preserve">tenant agrees to share monthly (or more frequent) utility consumption data with the landlord upon request. </w:t>
            </w:r>
          </w:p>
        </w:tc>
        <w:tc>
          <w:tcPr>
            <w:tcW w:w="2397" w:type="dxa"/>
          </w:tcPr>
          <w:p w14:paraId="139B99C8" w14:textId="4A486A8F" w:rsidR="008312F1" w:rsidRPr="00494550" w:rsidRDefault="008312F1" w:rsidP="003E0769">
            <w:pPr>
              <w:spacing w:after="120"/>
              <w:rPr>
                <w:rFonts w:ascii="Arial Narrow" w:eastAsiaTheme="minorHAnsi" w:hAnsi="Arial Narrow" w:cs="Calibri"/>
                <w:color w:val="000000"/>
              </w:rPr>
            </w:pPr>
            <w:r w:rsidRPr="00494550">
              <w:rPr>
                <w:rFonts w:ascii="Arial Narrow" w:eastAsiaTheme="minorHAnsi" w:hAnsi="Arial Narrow" w:cs="Calibri"/>
                <w:color w:val="000000"/>
              </w:rPr>
              <w:t xml:space="preserve">Demonstrate that </w:t>
            </w:r>
            <w:r w:rsidR="00494550" w:rsidRPr="00494550">
              <w:rPr>
                <w:rFonts w:ascii="Arial Narrow" w:eastAsiaTheme="minorHAnsi" w:hAnsi="Arial Narrow" w:cs="Calibri"/>
                <w:color w:val="000000"/>
              </w:rPr>
              <w:t xml:space="preserve">all </w:t>
            </w:r>
            <w:r w:rsidRPr="00494550">
              <w:rPr>
                <w:rFonts w:ascii="Arial Narrow" w:eastAsiaTheme="minorHAnsi" w:hAnsi="Arial Narrow" w:cs="Calibri"/>
                <w:color w:val="000000"/>
              </w:rPr>
              <w:t xml:space="preserve">eligible installed equipment will be/is ENERGY STAR certified, including computers, laptops, printers, </w:t>
            </w:r>
            <w:r w:rsidR="002E24A2" w:rsidRPr="00494550">
              <w:rPr>
                <w:rFonts w:ascii="Arial Narrow" w:eastAsiaTheme="minorHAnsi" w:hAnsi="Arial Narrow" w:cs="Calibri"/>
                <w:color w:val="000000"/>
              </w:rPr>
              <w:t xml:space="preserve">and </w:t>
            </w:r>
            <w:r w:rsidRPr="00494550">
              <w:rPr>
                <w:rFonts w:ascii="Arial Narrow" w:eastAsiaTheme="minorHAnsi" w:hAnsi="Arial Narrow" w:cs="Calibri"/>
                <w:color w:val="000000"/>
              </w:rPr>
              <w:t>kitchen appliances</w:t>
            </w:r>
            <w:r w:rsidR="002E24A2" w:rsidRPr="00494550">
              <w:rPr>
                <w:rFonts w:ascii="Arial Narrow" w:eastAsiaTheme="minorHAnsi" w:hAnsi="Arial Narrow" w:cs="Calibri"/>
                <w:color w:val="000000"/>
              </w:rPr>
              <w:t xml:space="preserve">. </w:t>
            </w:r>
            <w:r w:rsidR="003E0769" w:rsidRPr="00494550">
              <w:rPr>
                <w:rFonts w:ascii="Arial Narrow" w:hAnsi="Arial Narrow"/>
              </w:rPr>
              <w:t>This requirement also applies to ENERGY STAR eligible HVAC and data center equipment if installed or replaced by the tenant.</w:t>
            </w:r>
          </w:p>
        </w:tc>
      </w:tr>
    </w:tbl>
    <w:p w14:paraId="2C0A1B2A" w14:textId="77777777" w:rsidR="00DA5EEF" w:rsidRPr="00DA5EEF" w:rsidRDefault="00DA5EEF" w:rsidP="00DA5EEF">
      <w:pPr>
        <w:pStyle w:val="ListParagraph"/>
        <w:spacing w:after="120" w:line="240" w:lineRule="auto"/>
        <w:ind w:left="768"/>
        <w:rPr>
          <w:rFonts w:ascii="Arial Narrow" w:hAnsi="Arial Narrow"/>
        </w:rPr>
      </w:pPr>
    </w:p>
    <w:p w14:paraId="62DC27A2" w14:textId="465D8543" w:rsidR="00A154C0" w:rsidRPr="003C634B" w:rsidRDefault="00A154C0" w:rsidP="00D279F7">
      <w:pPr>
        <w:pStyle w:val="ListParagraph"/>
        <w:numPr>
          <w:ilvl w:val="0"/>
          <w:numId w:val="30"/>
        </w:numPr>
        <w:spacing w:after="120" w:line="240" w:lineRule="auto"/>
        <w:rPr>
          <w:rFonts w:ascii="Arial Narrow" w:hAnsi="Arial Narrow"/>
          <w:u w:val="single"/>
        </w:rPr>
      </w:pPr>
      <w:r w:rsidRPr="003C634B">
        <w:rPr>
          <w:rFonts w:ascii="Arial Narrow" w:hAnsi="Arial Narrow"/>
          <w:u w:val="single"/>
        </w:rPr>
        <w:t>Estimate</w:t>
      </w:r>
      <w:r w:rsidR="002E330A" w:rsidRPr="003C634B">
        <w:rPr>
          <w:rFonts w:ascii="Arial Narrow" w:hAnsi="Arial Narrow"/>
          <w:u w:val="single"/>
        </w:rPr>
        <w:t xml:space="preserve"> Energy Use</w:t>
      </w:r>
    </w:p>
    <w:p w14:paraId="6045D767" w14:textId="6CCBBA12" w:rsidR="00045A02" w:rsidRDefault="00BA40C4" w:rsidP="006C024D">
      <w:pPr>
        <w:spacing w:after="120" w:line="240" w:lineRule="auto"/>
        <w:ind w:left="360"/>
        <w:rPr>
          <w:rFonts w:ascii="Arial Narrow" w:hAnsi="Arial Narrow"/>
        </w:rPr>
      </w:pPr>
      <w:r>
        <w:rPr>
          <w:rFonts w:ascii="Arial Narrow" w:hAnsi="Arial Narrow"/>
        </w:rPr>
        <w:t xml:space="preserve">An important step in designing an efficient space is estimating the amount of energy that </w:t>
      </w:r>
      <w:r w:rsidR="003672FB">
        <w:rPr>
          <w:rFonts w:ascii="Arial Narrow" w:hAnsi="Arial Narrow"/>
        </w:rPr>
        <w:t xml:space="preserve">the tenant expects to use </w:t>
      </w:r>
      <w:r>
        <w:rPr>
          <w:rFonts w:ascii="Arial Narrow" w:hAnsi="Arial Narrow"/>
        </w:rPr>
        <w:t xml:space="preserve">when </w:t>
      </w:r>
      <w:r w:rsidR="003672FB">
        <w:rPr>
          <w:rFonts w:ascii="Arial Narrow" w:hAnsi="Arial Narrow"/>
        </w:rPr>
        <w:t xml:space="preserve">the space </w:t>
      </w:r>
      <w:r>
        <w:rPr>
          <w:rFonts w:ascii="Arial Narrow" w:hAnsi="Arial Narrow"/>
        </w:rPr>
        <w:t xml:space="preserve">is fully occupied. Developing this estimate requires the design team to think about the energy impact of their design choices, and allows them to gauge the impact of different choices before construction or fit out. </w:t>
      </w:r>
      <w:r w:rsidR="00045A02">
        <w:rPr>
          <w:rFonts w:ascii="Arial Narrow" w:hAnsi="Arial Narrow"/>
        </w:rPr>
        <w:t>For this process to be useful, estimates must be based on actual expected operating conditions, e.g., the number of workers and hours of operation.</w:t>
      </w:r>
    </w:p>
    <w:p w14:paraId="061019ED" w14:textId="5EAE2FD6" w:rsidR="00045A02" w:rsidRDefault="00045A02" w:rsidP="006C024D">
      <w:pPr>
        <w:spacing w:after="120" w:line="240" w:lineRule="auto"/>
        <w:ind w:left="360"/>
        <w:rPr>
          <w:rFonts w:ascii="Arial Narrow" w:hAnsi="Arial Narrow"/>
        </w:rPr>
      </w:pPr>
      <w:r>
        <w:rPr>
          <w:rFonts w:ascii="Arial Narrow" w:hAnsi="Arial Narrow"/>
        </w:rPr>
        <w:t xml:space="preserve">An estimate of energy use would be even more valuable if </w:t>
      </w:r>
      <w:r w:rsidR="003672FB">
        <w:rPr>
          <w:rFonts w:ascii="Arial Narrow" w:hAnsi="Arial Narrow"/>
        </w:rPr>
        <w:t xml:space="preserve">the ultimate operational performance </w:t>
      </w:r>
      <w:r>
        <w:rPr>
          <w:rFonts w:ascii="Arial Narrow" w:hAnsi="Arial Narrow"/>
        </w:rPr>
        <w:t xml:space="preserve">could be benchmarked relative to other similar </w:t>
      </w:r>
      <w:r w:rsidR="003672FB">
        <w:rPr>
          <w:rFonts w:ascii="Arial Narrow" w:hAnsi="Arial Narrow"/>
        </w:rPr>
        <w:t xml:space="preserve">tenant </w:t>
      </w:r>
      <w:r>
        <w:rPr>
          <w:rFonts w:ascii="Arial Narrow" w:hAnsi="Arial Narrow"/>
        </w:rPr>
        <w:t xml:space="preserve">spaces. Unfortunately, there is not yet enough </w:t>
      </w:r>
      <w:r w:rsidR="003672FB">
        <w:rPr>
          <w:rFonts w:ascii="Arial Narrow" w:hAnsi="Arial Narrow"/>
        </w:rPr>
        <w:t xml:space="preserve">energy </w:t>
      </w:r>
      <w:r>
        <w:rPr>
          <w:rFonts w:ascii="Arial Narrow" w:hAnsi="Arial Narrow"/>
        </w:rPr>
        <w:t>data from which to develop such a benchmark. However, EPA anticipates creating a tenant space benchmark once</w:t>
      </w:r>
      <w:r w:rsidR="00C07EE3">
        <w:rPr>
          <w:rFonts w:ascii="Arial Narrow" w:hAnsi="Arial Narrow"/>
        </w:rPr>
        <w:t xml:space="preserve"> sufficient</w:t>
      </w:r>
      <w:r>
        <w:rPr>
          <w:rFonts w:ascii="Arial Narrow" w:hAnsi="Arial Narrow"/>
        </w:rPr>
        <w:t xml:space="preserve"> data becomes available. At that point, EPA will have a basis for gauging the efficiency of the tenant </w:t>
      </w:r>
      <w:r>
        <w:rPr>
          <w:rFonts w:ascii="Arial Narrow" w:hAnsi="Arial Narrow"/>
        </w:rPr>
        <w:lastRenderedPageBreak/>
        <w:t xml:space="preserve">space design, similar to the way that whole building estimates for the </w:t>
      </w:r>
      <w:r w:rsidRPr="00DD4D51">
        <w:rPr>
          <w:rFonts w:ascii="Arial Narrow" w:hAnsi="Arial Narrow"/>
        </w:rPr>
        <w:t>Designed to Earn the ENERGY STAR</w:t>
      </w:r>
      <w:r>
        <w:rPr>
          <w:rFonts w:ascii="Arial Narrow" w:hAnsi="Arial Narrow"/>
        </w:rPr>
        <w:t xml:space="preserve"> </w:t>
      </w:r>
      <w:r w:rsidR="00DD4D51">
        <w:rPr>
          <w:rFonts w:ascii="Arial Narrow" w:hAnsi="Arial Narrow"/>
        </w:rPr>
        <w:t xml:space="preserve">recognition </w:t>
      </w:r>
      <w:r>
        <w:rPr>
          <w:rFonts w:ascii="Arial Narrow" w:hAnsi="Arial Narrow"/>
        </w:rPr>
        <w:t>are compared to the 1-100 ENERGY STAR score in Portfolio Manager.</w:t>
      </w:r>
    </w:p>
    <w:p w14:paraId="32E9658B" w14:textId="33F4B60D" w:rsidR="00A154C0" w:rsidRDefault="00577085" w:rsidP="006C024D">
      <w:pPr>
        <w:spacing w:after="120" w:line="240" w:lineRule="auto"/>
        <w:ind w:left="360"/>
        <w:rPr>
          <w:rFonts w:ascii="Arial Narrow" w:hAnsi="Arial Narrow"/>
        </w:rPr>
      </w:pPr>
      <w:r w:rsidRPr="003C634B">
        <w:rPr>
          <w:rFonts w:ascii="Arial Narrow" w:hAnsi="Arial Narrow"/>
          <w:i/>
        </w:rPr>
        <w:t>Proposed Crit</w:t>
      </w:r>
      <w:r w:rsidR="00E21A86">
        <w:rPr>
          <w:rFonts w:ascii="Arial Narrow" w:hAnsi="Arial Narrow"/>
          <w:i/>
        </w:rPr>
        <w:t>erion</w:t>
      </w:r>
      <w:r>
        <w:rPr>
          <w:rFonts w:ascii="Arial Narrow" w:hAnsi="Arial Narrow"/>
        </w:rPr>
        <w:t xml:space="preserve">: </w:t>
      </w:r>
      <w:r w:rsidR="00DC233C">
        <w:rPr>
          <w:rFonts w:ascii="Arial Narrow" w:hAnsi="Arial Narrow"/>
        </w:rPr>
        <w:t>Submit</w:t>
      </w:r>
      <w:r w:rsidR="00A154C0">
        <w:rPr>
          <w:rFonts w:ascii="Arial Narrow" w:hAnsi="Arial Narrow"/>
        </w:rPr>
        <w:t xml:space="preserve"> a comprehensive estimate of total energy consumption</w:t>
      </w:r>
      <w:r w:rsidR="0088238E">
        <w:rPr>
          <w:rFonts w:ascii="Arial Narrow" w:hAnsi="Arial Narrow"/>
        </w:rPr>
        <w:t xml:space="preserve"> (all sources, all fuels)</w:t>
      </w:r>
      <w:r w:rsidR="00A154C0">
        <w:rPr>
          <w:rFonts w:ascii="Arial Narrow" w:hAnsi="Arial Narrow"/>
        </w:rPr>
        <w:t xml:space="preserve"> </w:t>
      </w:r>
      <w:r w:rsidR="00DD4D51">
        <w:rPr>
          <w:rFonts w:ascii="Arial Narrow" w:hAnsi="Arial Narrow"/>
        </w:rPr>
        <w:t>and energy use intensity (kBtu/ft</w:t>
      </w:r>
      <w:r w:rsidR="00DD4D51" w:rsidRPr="00DD4D51">
        <w:rPr>
          <w:rFonts w:ascii="Arial Narrow" w:hAnsi="Arial Narrow"/>
          <w:vertAlign w:val="superscript"/>
        </w:rPr>
        <w:t>2</w:t>
      </w:r>
      <w:r w:rsidR="00DD4D51">
        <w:rPr>
          <w:rFonts w:ascii="Arial Narrow" w:hAnsi="Arial Narrow"/>
        </w:rPr>
        <w:t xml:space="preserve">) </w:t>
      </w:r>
      <w:r w:rsidR="00A154C0">
        <w:rPr>
          <w:rFonts w:ascii="Arial Narrow" w:hAnsi="Arial Narrow"/>
        </w:rPr>
        <w:t>using energy modeling</w:t>
      </w:r>
      <w:r w:rsidR="00D01B42">
        <w:rPr>
          <w:rFonts w:ascii="Arial Narrow" w:hAnsi="Arial Narrow"/>
        </w:rPr>
        <w:t xml:space="preserve"> </w:t>
      </w:r>
      <w:r w:rsidR="00A154C0">
        <w:rPr>
          <w:rFonts w:ascii="Arial Narrow" w:hAnsi="Arial Narrow"/>
        </w:rPr>
        <w:t>or</w:t>
      </w:r>
      <w:r>
        <w:rPr>
          <w:rFonts w:ascii="Arial Narrow" w:hAnsi="Arial Narrow"/>
        </w:rPr>
        <w:t xml:space="preserve"> </w:t>
      </w:r>
      <w:r w:rsidR="001B506B">
        <w:rPr>
          <w:rFonts w:ascii="Arial Narrow" w:hAnsi="Arial Narrow"/>
        </w:rPr>
        <w:t>another accepted estimation approach.</w:t>
      </w:r>
      <w:r w:rsidR="00DD4D51">
        <w:rPr>
          <w:rFonts w:ascii="Arial Narrow" w:hAnsi="Arial Narrow"/>
        </w:rPr>
        <w:t xml:space="preserve"> Neither the energy consumption nor the energy use intensity have to be below a specific level to meet this </w:t>
      </w:r>
      <w:r w:rsidR="00592096">
        <w:rPr>
          <w:rFonts w:ascii="Arial Narrow" w:hAnsi="Arial Narrow"/>
        </w:rPr>
        <w:t>criterion</w:t>
      </w:r>
      <w:r w:rsidR="00DD4D51">
        <w:rPr>
          <w:rFonts w:ascii="Arial Narrow" w:hAnsi="Arial Narrow"/>
        </w:rPr>
        <w:t>.</w:t>
      </w:r>
    </w:p>
    <w:p w14:paraId="3EE94A5B" w14:textId="77777777" w:rsidR="00A06B9B" w:rsidRDefault="00A06B9B" w:rsidP="006C024D">
      <w:pPr>
        <w:spacing w:after="0" w:line="240" w:lineRule="auto"/>
        <w:ind w:left="360"/>
        <w:rPr>
          <w:rFonts w:ascii="Arial Narrow" w:hAnsi="Arial Narrow"/>
        </w:rPr>
      </w:pPr>
      <w:r w:rsidRPr="00A06B9B">
        <w:rPr>
          <w:rFonts w:ascii="Arial Narrow" w:hAnsi="Arial Narrow"/>
          <w:i/>
        </w:rPr>
        <w:t>Questions for Public Comment:</w:t>
      </w:r>
    </w:p>
    <w:p w14:paraId="6367E9F0" w14:textId="6799B1FD" w:rsidR="006E1B35" w:rsidRDefault="00504A43" w:rsidP="006C024D">
      <w:pPr>
        <w:pStyle w:val="Default"/>
        <w:numPr>
          <w:ilvl w:val="0"/>
          <w:numId w:val="17"/>
        </w:numPr>
        <w:spacing w:after="120"/>
        <w:ind w:left="1080"/>
        <w:rPr>
          <w:rFonts w:ascii="Arial Narrow" w:hAnsi="Arial Narrow"/>
          <w:sz w:val="22"/>
          <w:szCs w:val="22"/>
        </w:rPr>
      </w:pPr>
      <w:r>
        <w:rPr>
          <w:rFonts w:ascii="Arial Narrow" w:hAnsi="Arial Narrow"/>
          <w:sz w:val="22"/>
          <w:szCs w:val="22"/>
        </w:rPr>
        <w:t>Should</w:t>
      </w:r>
      <w:r w:rsidR="001B506B">
        <w:rPr>
          <w:rFonts w:ascii="Arial Narrow" w:hAnsi="Arial Narrow"/>
          <w:sz w:val="22"/>
          <w:szCs w:val="22"/>
        </w:rPr>
        <w:t xml:space="preserve"> EPA </w:t>
      </w:r>
      <w:r>
        <w:rPr>
          <w:rFonts w:ascii="Arial Narrow" w:hAnsi="Arial Narrow"/>
          <w:sz w:val="22"/>
          <w:szCs w:val="22"/>
        </w:rPr>
        <w:t>specify</w:t>
      </w:r>
      <w:r w:rsidR="001B506B">
        <w:rPr>
          <w:rFonts w:ascii="Arial Narrow" w:hAnsi="Arial Narrow"/>
          <w:sz w:val="22"/>
          <w:szCs w:val="22"/>
        </w:rPr>
        <w:t xml:space="preserve"> the types of modeling platforms/procedures and</w:t>
      </w:r>
      <w:r w:rsidR="006E1B35">
        <w:rPr>
          <w:rFonts w:ascii="Arial Narrow" w:hAnsi="Arial Narrow"/>
          <w:sz w:val="22"/>
          <w:szCs w:val="22"/>
        </w:rPr>
        <w:t xml:space="preserve"> other analytical </w:t>
      </w:r>
      <w:r w:rsidR="001B506B">
        <w:rPr>
          <w:rFonts w:ascii="Arial Narrow" w:hAnsi="Arial Narrow"/>
          <w:sz w:val="22"/>
          <w:szCs w:val="22"/>
        </w:rPr>
        <w:t xml:space="preserve">approaches that applicants </w:t>
      </w:r>
      <w:r w:rsidR="006E1B35">
        <w:rPr>
          <w:rFonts w:ascii="Arial Narrow" w:hAnsi="Arial Narrow"/>
          <w:sz w:val="22"/>
          <w:szCs w:val="22"/>
        </w:rPr>
        <w:t xml:space="preserve">may </w:t>
      </w:r>
      <w:r w:rsidR="001B506B">
        <w:rPr>
          <w:rFonts w:ascii="Arial Narrow" w:hAnsi="Arial Narrow"/>
          <w:sz w:val="22"/>
          <w:szCs w:val="22"/>
        </w:rPr>
        <w:t xml:space="preserve">use </w:t>
      </w:r>
      <w:r w:rsidR="006E1B35">
        <w:rPr>
          <w:rFonts w:ascii="Arial Narrow" w:hAnsi="Arial Narrow"/>
          <w:sz w:val="22"/>
          <w:szCs w:val="22"/>
        </w:rPr>
        <w:t xml:space="preserve">to demonstrate compliance with this program element? </w:t>
      </w:r>
      <w:r>
        <w:rPr>
          <w:rFonts w:ascii="Arial Narrow" w:hAnsi="Arial Narrow"/>
          <w:sz w:val="22"/>
          <w:szCs w:val="22"/>
        </w:rPr>
        <w:t xml:space="preserve">If so, please provide information on the recommended types. </w:t>
      </w:r>
    </w:p>
    <w:p w14:paraId="20FCD287" w14:textId="0C73027E" w:rsidR="00F85FFF" w:rsidRDefault="00F85FFF" w:rsidP="006C024D">
      <w:pPr>
        <w:pStyle w:val="Default"/>
        <w:numPr>
          <w:ilvl w:val="0"/>
          <w:numId w:val="17"/>
        </w:numPr>
        <w:spacing w:after="120"/>
        <w:ind w:left="1080"/>
        <w:rPr>
          <w:rFonts w:ascii="Arial Narrow" w:hAnsi="Arial Narrow"/>
          <w:sz w:val="22"/>
          <w:szCs w:val="22"/>
        </w:rPr>
      </w:pPr>
      <w:r>
        <w:rPr>
          <w:rFonts w:ascii="Arial Narrow" w:hAnsi="Arial Narrow"/>
          <w:sz w:val="22"/>
          <w:szCs w:val="22"/>
        </w:rPr>
        <w:t xml:space="preserve">Would it be reasonable for EPA to require that applicants include a breakdown of their estimated energy use by major load, e.g. lighting, HVAC, and plug load/miscellaneous? </w:t>
      </w:r>
      <w:r w:rsidR="00D22BFB">
        <w:rPr>
          <w:rFonts w:ascii="Arial Narrow" w:hAnsi="Arial Narrow"/>
          <w:sz w:val="22"/>
          <w:szCs w:val="22"/>
        </w:rPr>
        <w:t>This would enable comparison of actual system-level meter data to the estimate.</w:t>
      </w:r>
    </w:p>
    <w:p w14:paraId="141F2328" w14:textId="5F517EBE" w:rsidR="001B506B" w:rsidRPr="006E1B35" w:rsidRDefault="00232982" w:rsidP="006C024D">
      <w:pPr>
        <w:pStyle w:val="Default"/>
        <w:numPr>
          <w:ilvl w:val="0"/>
          <w:numId w:val="17"/>
        </w:numPr>
        <w:spacing w:after="120"/>
        <w:ind w:left="1080"/>
        <w:rPr>
          <w:rFonts w:ascii="Arial Narrow" w:hAnsi="Arial Narrow"/>
          <w:sz w:val="22"/>
          <w:szCs w:val="22"/>
        </w:rPr>
      </w:pPr>
      <w:r>
        <w:rPr>
          <w:rFonts w:ascii="Arial Narrow" w:hAnsi="Arial Narrow"/>
          <w:sz w:val="22"/>
          <w:szCs w:val="22"/>
        </w:rPr>
        <w:t xml:space="preserve">Are there other requirements EPA should include for </w:t>
      </w:r>
      <w:r w:rsidR="00504A43">
        <w:rPr>
          <w:rFonts w:ascii="Arial Narrow" w:hAnsi="Arial Narrow"/>
          <w:sz w:val="22"/>
          <w:szCs w:val="22"/>
        </w:rPr>
        <w:t xml:space="preserve">meeting this </w:t>
      </w:r>
      <w:r w:rsidR="00592096">
        <w:rPr>
          <w:rFonts w:ascii="Arial Narrow" w:hAnsi="Arial Narrow"/>
          <w:sz w:val="22"/>
          <w:szCs w:val="22"/>
        </w:rPr>
        <w:t>criterion</w:t>
      </w:r>
      <w:r w:rsidR="00504A43">
        <w:rPr>
          <w:rFonts w:ascii="Arial Narrow" w:hAnsi="Arial Narrow"/>
          <w:sz w:val="22"/>
          <w:szCs w:val="22"/>
        </w:rPr>
        <w:t>?</w:t>
      </w:r>
    </w:p>
    <w:p w14:paraId="5BF86C65" w14:textId="55901915" w:rsidR="0088238E" w:rsidRPr="00723301" w:rsidRDefault="0088238E" w:rsidP="00723301">
      <w:pPr>
        <w:pStyle w:val="Default"/>
        <w:spacing w:after="120"/>
        <w:rPr>
          <w:rFonts w:ascii="Arial Narrow" w:hAnsi="Arial Narrow"/>
          <w:b/>
        </w:rPr>
      </w:pPr>
    </w:p>
    <w:p w14:paraId="38991403" w14:textId="15185744" w:rsidR="00DC233C" w:rsidRPr="003C634B" w:rsidRDefault="00BE757C" w:rsidP="00D279F7">
      <w:pPr>
        <w:pStyle w:val="Default"/>
        <w:numPr>
          <w:ilvl w:val="0"/>
          <w:numId w:val="30"/>
        </w:numPr>
        <w:spacing w:after="120"/>
        <w:rPr>
          <w:rFonts w:ascii="Arial Narrow" w:hAnsi="Arial Narrow"/>
          <w:sz w:val="22"/>
          <w:szCs w:val="22"/>
          <w:u w:val="single"/>
        </w:rPr>
      </w:pPr>
      <w:r w:rsidRPr="003C634B">
        <w:rPr>
          <w:rFonts w:ascii="Arial Narrow" w:hAnsi="Arial Narrow"/>
          <w:sz w:val="22"/>
          <w:szCs w:val="22"/>
          <w:u w:val="single"/>
        </w:rPr>
        <w:t>Meter</w:t>
      </w:r>
    </w:p>
    <w:p w14:paraId="6D1F4F0E" w14:textId="380A7E90" w:rsidR="00B50D1C" w:rsidRDefault="00B50D1C" w:rsidP="006C024D">
      <w:pPr>
        <w:spacing w:after="120" w:line="240" w:lineRule="auto"/>
        <w:ind w:left="360"/>
        <w:rPr>
          <w:rFonts w:ascii="Arial Narrow" w:hAnsi="Arial Narrow"/>
        </w:rPr>
      </w:pPr>
      <w:r>
        <w:rPr>
          <w:rFonts w:ascii="Arial Narrow" w:hAnsi="Arial Narrow"/>
        </w:rPr>
        <w:t xml:space="preserve">Metering of energy using systems in the tenant space is critical for a couple of reasons. First, it will allow the tenant to measure their energy use once in operation, and determine if they are achieving the design levels. Second, it will provide a basis for tenants to measure progress from improvements and behavior change. If </w:t>
      </w:r>
      <w:r w:rsidR="00F85FFF">
        <w:rPr>
          <w:rFonts w:ascii="Arial Narrow" w:hAnsi="Arial Narrow"/>
        </w:rPr>
        <w:t>the metered data is</w:t>
      </w:r>
      <w:r>
        <w:rPr>
          <w:rFonts w:ascii="Arial Narrow" w:hAnsi="Arial Narrow"/>
        </w:rPr>
        <w:t xml:space="preserve"> tied into a dashboard or otherwise shared with occupants, </w:t>
      </w:r>
      <w:r w:rsidR="00F85FFF">
        <w:rPr>
          <w:rFonts w:ascii="Arial Narrow" w:hAnsi="Arial Narrow"/>
        </w:rPr>
        <w:t xml:space="preserve">it </w:t>
      </w:r>
      <w:r>
        <w:rPr>
          <w:rFonts w:ascii="Arial Narrow" w:hAnsi="Arial Narrow"/>
        </w:rPr>
        <w:t>can be a great motivator for improvement.</w:t>
      </w:r>
    </w:p>
    <w:p w14:paraId="63A18F81" w14:textId="6DC1603D" w:rsidR="00DC233C" w:rsidRDefault="00E21A86" w:rsidP="006C024D">
      <w:pPr>
        <w:spacing w:after="120" w:line="240" w:lineRule="auto"/>
        <w:ind w:left="360"/>
        <w:rPr>
          <w:rFonts w:ascii="Arial Narrow" w:hAnsi="Arial Narrow"/>
        </w:rPr>
      </w:pPr>
      <w:r>
        <w:rPr>
          <w:rFonts w:ascii="Arial Narrow" w:hAnsi="Arial Narrow"/>
          <w:i/>
        </w:rPr>
        <w:t>Proposed Criterion</w:t>
      </w:r>
      <w:r w:rsidR="00B50D1C">
        <w:rPr>
          <w:rFonts w:ascii="Arial Narrow" w:hAnsi="Arial Narrow"/>
        </w:rPr>
        <w:t xml:space="preserve">: </w:t>
      </w:r>
      <w:r w:rsidR="00DC233C">
        <w:rPr>
          <w:rFonts w:ascii="Arial Narrow" w:hAnsi="Arial Narrow"/>
        </w:rPr>
        <w:t>Document that appropriate</w:t>
      </w:r>
      <w:r w:rsidR="00FB4D5A">
        <w:rPr>
          <w:rFonts w:ascii="Arial Narrow" w:hAnsi="Arial Narrow"/>
        </w:rPr>
        <w:t xml:space="preserve"> </w:t>
      </w:r>
      <w:r w:rsidR="00DC233C">
        <w:rPr>
          <w:rFonts w:ascii="Arial Narrow" w:hAnsi="Arial Narrow"/>
        </w:rPr>
        <w:t xml:space="preserve">metering is in place to enable </w:t>
      </w:r>
      <w:r w:rsidR="00F85FFF">
        <w:rPr>
          <w:rFonts w:ascii="Arial Narrow" w:hAnsi="Arial Narrow"/>
        </w:rPr>
        <w:t xml:space="preserve">accurate </w:t>
      </w:r>
      <w:r w:rsidR="00DC233C">
        <w:rPr>
          <w:rFonts w:ascii="Arial Narrow" w:hAnsi="Arial Narrow"/>
        </w:rPr>
        <w:t>monitoring and tracking of tenant contributions to total building energy use</w:t>
      </w:r>
      <w:r w:rsidR="00410317">
        <w:rPr>
          <w:rFonts w:ascii="Arial Narrow" w:hAnsi="Arial Narrow"/>
        </w:rPr>
        <w:t>, on a monthly basis at minimum</w:t>
      </w:r>
      <w:r w:rsidR="00DC233C">
        <w:rPr>
          <w:rFonts w:ascii="Arial Narrow" w:hAnsi="Arial Narrow"/>
        </w:rPr>
        <w:t xml:space="preserve">. </w:t>
      </w:r>
    </w:p>
    <w:p w14:paraId="480B2E97" w14:textId="5512B370" w:rsidR="00DC233C" w:rsidRDefault="00DC233C" w:rsidP="006C024D">
      <w:pPr>
        <w:spacing w:after="120" w:line="240" w:lineRule="auto"/>
        <w:ind w:left="360"/>
        <w:rPr>
          <w:rFonts w:ascii="Arial Narrow" w:hAnsi="Arial Narrow"/>
        </w:rPr>
      </w:pPr>
      <w:r>
        <w:rPr>
          <w:rFonts w:ascii="Arial Narrow" w:hAnsi="Arial Narrow"/>
        </w:rPr>
        <w:t xml:space="preserve">Appropriate metering is defined as any commercially available energy meter(s) or submeter(s) that accurately measure(s) energy use of </w:t>
      </w:r>
      <w:r w:rsidRPr="00130359">
        <w:rPr>
          <w:rFonts w:ascii="Arial Narrow" w:hAnsi="Arial Narrow"/>
          <w:i/>
        </w:rPr>
        <w:t>at least</w:t>
      </w:r>
      <w:r>
        <w:rPr>
          <w:rFonts w:ascii="Arial Narrow" w:hAnsi="Arial Narrow"/>
        </w:rPr>
        <w:t xml:space="preserve"> lighting and plug loads in the tenant space</w:t>
      </w:r>
      <w:r w:rsidR="00FB4D5A">
        <w:rPr>
          <w:rFonts w:ascii="Arial Narrow" w:hAnsi="Arial Narrow"/>
        </w:rPr>
        <w:t>, as well as supplemental HVAC if controlled and used only by the tenant (e.g., rooftop units)</w:t>
      </w:r>
      <w:r>
        <w:rPr>
          <w:rFonts w:ascii="Arial Narrow" w:hAnsi="Arial Narrow"/>
        </w:rPr>
        <w:t>. Installed meters or submeters for this component are not required to be utility grade.</w:t>
      </w:r>
      <w:r w:rsidR="00FB4D5A">
        <w:rPr>
          <w:rFonts w:ascii="Arial Narrow" w:hAnsi="Arial Narrow"/>
        </w:rPr>
        <w:t xml:space="preserve"> </w:t>
      </w:r>
    </w:p>
    <w:p w14:paraId="700731D1" w14:textId="77777777" w:rsidR="00A06B9B" w:rsidRPr="00A06B9B" w:rsidRDefault="00A06B9B" w:rsidP="006C024D">
      <w:pPr>
        <w:spacing w:after="0" w:line="240" w:lineRule="auto"/>
        <w:ind w:left="360"/>
        <w:rPr>
          <w:rFonts w:ascii="Arial Narrow" w:hAnsi="Arial Narrow"/>
          <w:i/>
        </w:rPr>
      </w:pPr>
      <w:r w:rsidRPr="00A06B9B">
        <w:rPr>
          <w:rFonts w:ascii="Arial Narrow" w:hAnsi="Arial Narrow"/>
          <w:i/>
        </w:rPr>
        <w:t>Questions for Public Comment:</w:t>
      </w:r>
    </w:p>
    <w:p w14:paraId="48E280CB" w14:textId="35474378" w:rsidR="00E44BBB" w:rsidRPr="007F56EE" w:rsidRDefault="00A06B9B" w:rsidP="006C024D">
      <w:pPr>
        <w:pStyle w:val="Default"/>
        <w:numPr>
          <w:ilvl w:val="0"/>
          <w:numId w:val="16"/>
        </w:numPr>
        <w:spacing w:after="240"/>
        <w:ind w:left="1080"/>
        <w:rPr>
          <w:rFonts w:ascii="Arial Narrow" w:hAnsi="Arial Narrow"/>
          <w:b/>
          <w:sz w:val="22"/>
          <w:szCs w:val="22"/>
        </w:rPr>
      </w:pPr>
      <w:r>
        <w:rPr>
          <w:rFonts w:ascii="Arial Narrow" w:hAnsi="Arial Narrow"/>
          <w:sz w:val="22"/>
          <w:szCs w:val="22"/>
        </w:rPr>
        <w:t>Is there a portion of HVAC energy use that could be cost-effectively metered or sub-metered for buildings with central heating and cooling?</w:t>
      </w:r>
    </w:p>
    <w:p w14:paraId="61E53E98" w14:textId="77777777" w:rsidR="00A27BAE" w:rsidRDefault="007F56EE" w:rsidP="00A27BAE">
      <w:pPr>
        <w:pStyle w:val="Default"/>
        <w:numPr>
          <w:ilvl w:val="0"/>
          <w:numId w:val="16"/>
        </w:numPr>
        <w:spacing w:after="240"/>
        <w:ind w:left="1080"/>
        <w:rPr>
          <w:rFonts w:ascii="Arial Narrow" w:hAnsi="Arial Narrow"/>
          <w:b/>
          <w:sz w:val="22"/>
          <w:szCs w:val="22"/>
        </w:rPr>
      </w:pPr>
      <w:r>
        <w:rPr>
          <w:rFonts w:ascii="Arial Narrow" w:hAnsi="Arial Narrow"/>
          <w:sz w:val="22"/>
          <w:szCs w:val="22"/>
        </w:rPr>
        <w:t xml:space="preserve">Should EPA require </w:t>
      </w:r>
      <w:r w:rsidR="00B14CDC">
        <w:rPr>
          <w:rFonts w:ascii="Arial Narrow" w:hAnsi="Arial Narrow"/>
          <w:sz w:val="22"/>
          <w:szCs w:val="22"/>
        </w:rPr>
        <w:t xml:space="preserve">that </w:t>
      </w:r>
      <w:r>
        <w:rPr>
          <w:rFonts w:ascii="Arial Narrow" w:hAnsi="Arial Narrow"/>
          <w:sz w:val="22"/>
          <w:szCs w:val="22"/>
        </w:rPr>
        <w:t>lighting and plug loads</w:t>
      </w:r>
      <w:r w:rsidR="00B14CDC">
        <w:rPr>
          <w:rFonts w:ascii="Arial Narrow" w:hAnsi="Arial Narrow"/>
          <w:sz w:val="22"/>
          <w:szCs w:val="22"/>
        </w:rPr>
        <w:t xml:space="preserve"> be metered separately</w:t>
      </w:r>
      <w:r>
        <w:rPr>
          <w:rFonts w:ascii="Arial Narrow" w:hAnsi="Arial Narrow"/>
          <w:sz w:val="22"/>
          <w:szCs w:val="22"/>
        </w:rPr>
        <w:t>?</w:t>
      </w:r>
      <w:r w:rsidR="00B14CDC">
        <w:rPr>
          <w:rFonts w:ascii="Arial Narrow" w:hAnsi="Arial Narrow"/>
          <w:sz w:val="22"/>
          <w:szCs w:val="22"/>
        </w:rPr>
        <w:t xml:space="preserve"> Similarly, should EPA require that plug loads be measured at a more granular level (e.g. separate meters for kitchen plus load, copy room plug load, etc)?</w:t>
      </w:r>
    </w:p>
    <w:p w14:paraId="7D923DB5" w14:textId="6E56552B" w:rsidR="0013616E" w:rsidRPr="00A27BAE" w:rsidRDefault="0013616E" w:rsidP="006C024D">
      <w:pPr>
        <w:pStyle w:val="Default"/>
        <w:numPr>
          <w:ilvl w:val="0"/>
          <w:numId w:val="16"/>
        </w:numPr>
        <w:spacing w:after="240"/>
        <w:ind w:left="1080"/>
        <w:rPr>
          <w:rFonts w:ascii="Arial Narrow" w:hAnsi="Arial Narrow"/>
          <w:b/>
          <w:sz w:val="22"/>
          <w:szCs w:val="22"/>
        </w:rPr>
      </w:pPr>
      <w:r>
        <w:rPr>
          <w:rFonts w:ascii="Arial Narrow" w:hAnsi="Arial Narrow"/>
          <w:sz w:val="22"/>
          <w:szCs w:val="22"/>
        </w:rPr>
        <w:t>Should EPA provide specifications for the type of meters that are acceptable?</w:t>
      </w:r>
    </w:p>
    <w:p w14:paraId="05B8BB03" w14:textId="23832CBA" w:rsidR="00A27BAE" w:rsidRPr="00A27BAE" w:rsidRDefault="002A6745" w:rsidP="00A27BAE">
      <w:pPr>
        <w:pStyle w:val="Default"/>
        <w:numPr>
          <w:ilvl w:val="0"/>
          <w:numId w:val="16"/>
        </w:numPr>
        <w:spacing w:after="240"/>
        <w:ind w:left="1080"/>
        <w:rPr>
          <w:rFonts w:ascii="Arial Narrow" w:hAnsi="Arial Narrow"/>
          <w:b/>
          <w:sz w:val="22"/>
          <w:szCs w:val="22"/>
        </w:rPr>
      </w:pPr>
      <w:r>
        <w:rPr>
          <w:rFonts w:ascii="Arial Narrow" w:hAnsi="Arial Narrow"/>
          <w:sz w:val="22"/>
          <w:szCs w:val="22"/>
        </w:rPr>
        <w:t>Because e</w:t>
      </w:r>
      <w:r w:rsidR="00A27BAE" w:rsidRPr="00A27BAE">
        <w:rPr>
          <w:rFonts w:ascii="Arial Narrow" w:hAnsi="Arial Narrow"/>
          <w:sz w:val="22"/>
          <w:szCs w:val="22"/>
        </w:rPr>
        <w:t>nergy used in data centers is often a major contributor to total energy consumption</w:t>
      </w:r>
      <w:r>
        <w:rPr>
          <w:rFonts w:ascii="Arial Narrow" w:hAnsi="Arial Narrow"/>
          <w:sz w:val="22"/>
          <w:szCs w:val="22"/>
        </w:rPr>
        <w:t xml:space="preserve">, </w:t>
      </w:r>
      <w:r w:rsidR="00A27BAE" w:rsidRPr="00A27BAE">
        <w:rPr>
          <w:rFonts w:ascii="Arial Narrow" w:hAnsi="Arial Narrow"/>
          <w:sz w:val="22"/>
          <w:szCs w:val="22"/>
        </w:rPr>
        <w:t xml:space="preserve">EPA is considering an addition to the metering </w:t>
      </w:r>
      <w:r w:rsidR="00592096">
        <w:rPr>
          <w:rFonts w:ascii="Arial Narrow" w:hAnsi="Arial Narrow"/>
          <w:sz w:val="22"/>
          <w:szCs w:val="22"/>
        </w:rPr>
        <w:t>criterion</w:t>
      </w:r>
      <w:r w:rsidR="00A27BAE" w:rsidRPr="00A27BAE">
        <w:rPr>
          <w:rFonts w:ascii="Arial Narrow" w:hAnsi="Arial Narrow"/>
          <w:sz w:val="22"/>
          <w:szCs w:val="22"/>
        </w:rPr>
        <w:t xml:space="preserve"> that would require energy meters be placed at the output of all UPS in </w:t>
      </w:r>
      <w:r>
        <w:rPr>
          <w:rFonts w:ascii="Arial Narrow" w:hAnsi="Arial Narrow"/>
          <w:sz w:val="22"/>
          <w:szCs w:val="22"/>
        </w:rPr>
        <w:t>a</w:t>
      </w:r>
      <w:r w:rsidR="00A27BAE" w:rsidRPr="00A27BAE">
        <w:rPr>
          <w:rFonts w:ascii="Arial Narrow" w:hAnsi="Arial Narrow"/>
          <w:sz w:val="22"/>
          <w:szCs w:val="22"/>
        </w:rPr>
        <w:t xml:space="preserve"> data center. This is recommended for data center management, and would provide the IT energy use information needed </w:t>
      </w:r>
      <w:r w:rsidR="00342EA9">
        <w:rPr>
          <w:rFonts w:ascii="Arial Narrow" w:hAnsi="Arial Narrow"/>
          <w:sz w:val="22"/>
          <w:szCs w:val="22"/>
        </w:rPr>
        <w:t>to benchmark</w:t>
      </w:r>
      <w:r w:rsidR="00A27BAE" w:rsidRPr="00A27BAE">
        <w:rPr>
          <w:rFonts w:ascii="Arial Narrow" w:hAnsi="Arial Narrow"/>
          <w:sz w:val="22"/>
          <w:szCs w:val="22"/>
        </w:rPr>
        <w:t xml:space="preserve"> the building </w:t>
      </w:r>
      <w:r w:rsidR="00342EA9">
        <w:rPr>
          <w:rFonts w:ascii="Arial Narrow" w:hAnsi="Arial Narrow"/>
          <w:sz w:val="22"/>
          <w:szCs w:val="22"/>
        </w:rPr>
        <w:t xml:space="preserve">accurately </w:t>
      </w:r>
      <w:r w:rsidR="00A27BAE" w:rsidRPr="00A27BAE">
        <w:rPr>
          <w:rFonts w:ascii="Arial Narrow" w:hAnsi="Arial Narrow"/>
          <w:sz w:val="22"/>
          <w:szCs w:val="22"/>
        </w:rPr>
        <w:t>in EPA’s ENERGY STAR Portfolio Manager</w:t>
      </w:r>
      <w:r>
        <w:rPr>
          <w:rFonts w:ascii="Arial Narrow" w:hAnsi="Arial Narrow"/>
          <w:sz w:val="22"/>
          <w:szCs w:val="22"/>
        </w:rPr>
        <w:t xml:space="preserve"> tool</w:t>
      </w:r>
      <w:r w:rsidR="00A27BAE" w:rsidRPr="00A27BAE">
        <w:rPr>
          <w:rFonts w:ascii="Arial Narrow" w:hAnsi="Arial Narrow"/>
          <w:sz w:val="22"/>
          <w:szCs w:val="22"/>
        </w:rPr>
        <w:t xml:space="preserve">. EPA welcomes your input and suggestions on this proposed addition. </w:t>
      </w:r>
    </w:p>
    <w:p w14:paraId="27600AE1" w14:textId="10A0DCC9" w:rsidR="002475C0" w:rsidRPr="002475C0" w:rsidRDefault="002475C0" w:rsidP="00031EF6">
      <w:pPr>
        <w:pStyle w:val="Default"/>
        <w:numPr>
          <w:ilvl w:val="0"/>
          <w:numId w:val="16"/>
        </w:numPr>
        <w:spacing w:after="240"/>
        <w:ind w:left="1080"/>
        <w:rPr>
          <w:rFonts w:ascii="Arial Narrow" w:hAnsi="Arial Narrow"/>
          <w:b/>
          <w:sz w:val="22"/>
          <w:szCs w:val="22"/>
        </w:rPr>
      </w:pPr>
      <w:r w:rsidRPr="002475C0">
        <w:rPr>
          <w:rFonts w:ascii="Arial Narrow" w:hAnsi="Arial Narrow"/>
          <w:sz w:val="22"/>
          <w:szCs w:val="22"/>
        </w:rPr>
        <w:t xml:space="preserve">Are there other requirements EPA should include for meeting this </w:t>
      </w:r>
      <w:r w:rsidR="00592096">
        <w:rPr>
          <w:rFonts w:ascii="Arial Narrow" w:hAnsi="Arial Narrow"/>
          <w:sz w:val="22"/>
          <w:szCs w:val="22"/>
        </w:rPr>
        <w:t>criterion</w:t>
      </w:r>
      <w:r w:rsidRPr="002475C0">
        <w:rPr>
          <w:rFonts w:ascii="Arial Narrow" w:hAnsi="Arial Narrow"/>
          <w:sz w:val="22"/>
          <w:szCs w:val="22"/>
        </w:rPr>
        <w:t>?</w:t>
      </w:r>
    </w:p>
    <w:p w14:paraId="2037601B" w14:textId="77777777" w:rsidR="00B511D8" w:rsidRDefault="00B511D8" w:rsidP="00B511D8">
      <w:pPr>
        <w:pStyle w:val="ListParagraph"/>
        <w:spacing w:after="120" w:line="240" w:lineRule="auto"/>
        <w:rPr>
          <w:rFonts w:ascii="Arial Narrow" w:hAnsi="Arial Narrow"/>
          <w:u w:val="single"/>
        </w:rPr>
      </w:pPr>
    </w:p>
    <w:p w14:paraId="5F5B6711" w14:textId="4CA775F2" w:rsidR="00DC233C" w:rsidRPr="003C634B" w:rsidRDefault="00DC233C" w:rsidP="00D279F7">
      <w:pPr>
        <w:pStyle w:val="ListParagraph"/>
        <w:numPr>
          <w:ilvl w:val="0"/>
          <w:numId w:val="30"/>
        </w:numPr>
        <w:spacing w:after="120" w:line="240" w:lineRule="auto"/>
        <w:rPr>
          <w:rFonts w:ascii="Arial Narrow" w:hAnsi="Arial Narrow"/>
          <w:u w:val="single"/>
        </w:rPr>
      </w:pPr>
      <w:r w:rsidRPr="003C634B">
        <w:rPr>
          <w:rFonts w:ascii="Arial Narrow" w:hAnsi="Arial Narrow"/>
          <w:u w:val="single"/>
        </w:rPr>
        <w:t>Light</w:t>
      </w:r>
      <w:r w:rsidR="00F35207" w:rsidRPr="003C634B">
        <w:rPr>
          <w:rFonts w:ascii="Arial Narrow" w:hAnsi="Arial Narrow"/>
          <w:u w:val="single"/>
        </w:rPr>
        <w:t xml:space="preserve"> Efficiently</w:t>
      </w:r>
    </w:p>
    <w:p w14:paraId="450ABB1C" w14:textId="34930F60" w:rsidR="00B511D8" w:rsidRDefault="0013616E" w:rsidP="006C024D">
      <w:pPr>
        <w:spacing w:after="120" w:line="240" w:lineRule="auto"/>
        <w:ind w:left="360"/>
        <w:rPr>
          <w:rFonts w:ascii="Arial Narrow" w:hAnsi="Arial Narrow"/>
        </w:rPr>
      </w:pPr>
      <w:r>
        <w:rPr>
          <w:rFonts w:ascii="Arial Narrow" w:hAnsi="Arial Narrow"/>
        </w:rPr>
        <w:t>T</w:t>
      </w:r>
      <w:r w:rsidR="00DC7137">
        <w:rPr>
          <w:rFonts w:ascii="Arial Narrow" w:hAnsi="Arial Narrow"/>
        </w:rPr>
        <w:t xml:space="preserve">he choice of lighting </w:t>
      </w:r>
      <w:r w:rsidR="004D51AB">
        <w:rPr>
          <w:rFonts w:ascii="Arial Narrow" w:hAnsi="Arial Narrow"/>
        </w:rPr>
        <w:t xml:space="preserve">and controls </w:t>
      </w:r>
      <w:r>
        <w:rPr>
          <w:rFonts w:ascii="Arial Narrow" w:hAnsi="Arial Narrow"/>
        </w:rPr>
        <w:t xml:space="preserve">can </w:t>
      </w:r>
      <w:r w:rsidR="00DC7137">
        <w:rPr>
          <w:rFonts w:ascii="Arial Narrow" w:hAnsi="Arial Narrow"/>
        </w:rPr>
        <w:t xml:space="preserve">make a </w:t>
      </w:r>
      <w:r>
        <w:rPr>
          <w:rFonts w:ascii="Arial Narrow" w:hAnsi="Arial Narrow"/>
        </w:rPr>
        <w:t>significant</w:t>
      </w:r>
      <w:r w:rsidR="00DC7137">
        <w:rPr>
          <w:rFonts w:ascii="Arial Narrow" w:hAnsi="Arial Narrow"/>
        </w:rPr>
        <w:t xml:space="preserve"> difference in total energy use, </w:t>
      </w:r>
      <w:r>
        <w:rPr>
          <w:rFonts w:ascii="Arial Narrow" w:hAnsi="Arial Narrow"/>
        </w:rPr>
        <w:t>with</w:t>
      </w:r>
      <w:r w:rsidR="00DC7137">
        <w:rPr>
          <w:rFonts w:ascii="Arial Narrow" w:hAnsi="Arial Narrow"/>
        </w:rPr>
        <w:t xml:space="preserve"> </w:t>
      </w:r>
      <w:r>
        <w:rPr>
          <w:rFonts w:ascii="Arial Narrow" w:hAnsi="Arial Narrow"/>
        </w:rPr>
        <w:t xml:space="preserve">highly efficient </w:t>
      </w:r>
      <w:r w:rsidR="00DC7137">
        <w:rPr>
          <w:rFonts w:ascii="Arial Narrow" w:hAnsi="Arial Narrow"/>
        </w:rPr>
        <w:t>options widely available in the market</w:t>
      </w:r>
      <w:r>
        <w:rPr>
          <w:rFonts w:ascii="Arial Narrow" w:hAnsi="Arial Narrow"/>
        </w:rPr>
        <w:t xml:space="preserve">. </w:t>
      </w:r>
      <w:r w:rsidR="00B511D8">
        <w:rPr>
          <w:rFonts w:ascii="Arial Narrow" w:hAnsi="Arial Narrow"/>
        </w:rPr>
        <w:t xml:space="preserve">EPA is proposing that applicants could choose one of two options to demonstrate </w:t>
      </w:r>
      <w:r w:rsidR="00823010">
        <w:rPr>
          <w:rFonts w:ascii="Arial Narrow" w:hAnsi="Arial Narrow"/>
        </w:rPr>
        <w:t>that they have met this criterion</w:t>
      </w:r>
      <w:r w:rsidR="00B511D8">
        <w:rPr>
          <w:rFonts w:ascii="Arial Narrow" w:hAnsi="Arial Narrow"/>
        </w:rPr>
        <w:t xml:space="preserve">. </w:t>
      </w:r>
      <w:r w:rsidR="00867125" w:rsidRPr="00867125">
        <w:rPr>
          <w:rFonts w:ascii="Arial Narrow" w:hAnsi="Arial Narrow"/>
          <w:b/>
        </w:rPr>
        <w:t xml:space="preserve">Note that EPA will provide more detailed information and seek comment </w:t>
      </w:r>
      <w:r w:rsidR="00CA4EB8">
        <w:rPr>
          <w:rFonts w:ascii="Arial Narrow" w:hAnsi="Arial Narrow"/>
          <w:b/>
        </w:rPr>
        <w:t xml:space="preserve">separately </w:t>
      </w:r>
      <w:r w:rsidR="00867125" w:rsidRPr="00867125">
        <w:rPr>
          <w:rFonts w:ascii="Arial Narrow" w:hAnsi="Arial Narrow"/>
          <w:b/>
        </w:rPr>
        <w:t xml:space="preserve">on </w:t>
      </w:r>
      <w:r w:rsidR="00867125">
        <w:rPr>
          <w:rFonts w:ascii="Arial Narrow" w:hAnsi="Arial Narrow"/>
          <w:b/>
        </w:rPr>
        <w:t xml:space="preserve">Option One </w:t>
      </w:r>
      <w:r w:rsidR="00867125" w:rsidRPr="00867125">
        <w:rPr>
          <w:rFonts w:ascii="Arial Narrow" w:hAnsi="Arial Narrow"/>
          <w:b/>
        </w:rPr>
        <w:t>prior to implementing the tenant recognition</w:t>
      </w:r>
      <w:r w:rsidR="00867125">
        <w:rPr>
          <w:rFonts w:ascii="Arial Narrow" w:hAnsi="Arial Narrow"/>
          <w:b/>
        </w:rPr>
        <w:t>.</w:t>
      </w:r>
    </w:p>
    <w:p w14:paraId="552AE184" w14:textId="5BDB1981" w:rsidR="00C668BB" w:rsidRDefault="00DC4CC0" w:rsidP="006C024D">
      <w:pPr>
        <w:spacing w:after="120" w:line="240" w:lineRule="auto"/>
        <w:ind w:left="360"/>
        <w:rPr>
          <w:rFonts w:ascii="Arial Narrow" w:hAnsi="Arial Narrow"/>
        </w:rPr>
      </w:pPr>
      <w:r w:rsidRPr="003C634B">
        <w:rPr>
          <w:rFonts w:ascii="Arial Narrow" w:hAnsi="Arial Narrow" w:cs="Times New Roman"/>
          <w:i/>
        </w:rPr>
        <w:t xml:space="preserve">Proposed </w:t>
      </w:r>
      <w:r w:rsidR="00E21A86">
        <w:rPr>
          <w:rFonts w:ascii="Arial Narrow" w:hAnsi="Arial Narrow" w:cs="Times New Roman"/>
          <w:i/>
        </w:rPr>
        <w:t>Criterion</w:t>
      </w:r>
      <w:r w:rsidR="00700964" w:rsidRPr="003C634B">
        <w:rPr>
          <w:rFonts w:ascii="Arial Narrow" w:hAnsi="Arial Narrow" w:cs="Times New Roman"/>
          <w:i/>
        </w:rPr>
        <w:t xml:space="preserve"> </w:t>
      </w:r>
      <w:r w:rsidR="00E44BBB" w:rsidRPr="00867125">
        <w:rPr>
          <w:rFonts w:ascii="Arial Narrow" w:hAnsi="Arial Narrow"/>
          <w:i/>
          <w:u w:val="single"/>
        </w:rPr>
        <w:t xml:space="preserve">Option </w:t>
      </w:r>
      <w:r w:rsidR="00C668BB" w:rsidRPr="00867125">
        <w:rPr>
          <w:rFonts w:ascii="Arial Narrow" w:hAnsi="Arial Narrow"/>
          <w:i/>
          <w:u w:val="single"/>
        </w:rPr>
        <w:t>One</w:t>
      </w:r>
      <w:r w:rsidR="00C668BB" w:rsidRPr="00130359">
        <w:rPr>
          <w:rFonts w:ascii="Arial Narrow" w:hAnsi="Arial Narrow"/>
          <w:i/>
        </w:rPr>
        <w:t>:</w:t>
      </w:r>
      <w:r w:rsidR="00C668BB">
        <w:rPr>
          <w:rFonts w:ascii="Arial Narrow" w:hAnsi="Arial Narrow"/>
        </w:rPr>
        <w:t xml:space="preserve">  </w:t>
      </w:r>
      <w:r w:rsidR="00DC233C" w:rsidRPr="00587E11">
        <w:rPr>
          <w:rFonts w:ascii="Arial Narrow" w:hAnsi="Arial Narrow"/>
        </w:rPr>
        <w:t xml:space="preserve">Document that </w:t>
      </w:r>
      <w:r w:rsidR="00587E11">
        <w:rPr>
          <w:rFonts w:ascii="Arial Narrow" w:hAnsi="Arial Narrow"/>
        </w:rPr>
        <w:t xml:space="preserve">the </w:t>
      </w:r>
      <w:r w:rsidR="00E06CF4" w:rsidRPr="00587E11">
        <w:rPr>
          <w:rFonts w:ascii="Arial Narrow" w:hAnsi="Arial Narrow"/>
        </w:rPr>
        <w:t xml:space="preserve">total </w:t>
      </w:r>
      <w:r w:rsidR="00885898">
        <w:rPr>
          <w:rFonts w:ascii="Arial Narrow" w:hAnsi="Arial Narrow"/>
        </w:rPr>
        <w:t xml:space="preserve">lighting energy use intensity (kWh/square foot) will be below </w:t>
      </w:r>
      <w:r w:rsidR="00031EF6">
        <w:rPr>
          <w:rFonts w:ascii="Arial Narrow" w:hAnsi="Arial Narrow"/>
        </w:rPr>
        <w:t>a level specified by EPA</w:t>
      </w:r>
      <w:r w:rsidR="008859AD" w:rsidRPr="00587E11">
        <w:rPr>
          <w:rFonts w:ascii="Arial Narrow" w:hAnsi="Arial Narrow"/>
        </w:rPr>
        <w:t>.</w:t>
      </w:r>
      <w:r w:rsidR="00885898">
        <w:rPr>
          <w:rFonts w:ascii="Arial Narrow" w:hAnsi="Arial Narrow"/>
        </w:rPr>
        <w:t xml:space="preserve"> Use the tool provided by EPA to calculate projected lighting </w:t>
      </w:r>
      <w:r w:rsidR="005D72C6">
        <w:rPr>
          <w:rFonts w:ascii="Arial Narrow" w:hAnsi="Arial Narrow"/>
        </w:rPr>
        <w:t>energy use intensity (</w:t>
      </w:r>
      <w:r w:rsidR="00885898">
        <w:rPr>
          <w:rFonts w:ascii="Arial Narrow" w:hAnsi="Arial Narrow"/>
        </w:rPr>
        <w:t>EUI</w:t>
      </w:r>
      <w:r w:rsidR="005D72C6">
        <w:rPr>
          <w:rFonts w:ascii="Arial Narrow" w:hAnsi="Arial Narrow"/>
        </w:rPr>
        <w:t>)</w:t>
      </w:r>
      <w:r w:rsidR="00885898">
        <w:rPr>
          <w:rFonts w:ascii="Arial Narrow" w:hAnsi="Arial Narrow"/>
        </w:rPr>
        <w:t>, based on square feet of leased area</w:t>
      </w:r>
      <w:r w:rsidR="00031EF6">
        <w:rPr>
          <w:rFonts w:ascii="Arial Narrow" w:hAnsi="Arial Narrow"/>
        </w:rPr>
        <w:t xml:space="preserve"> and</w:t>
      </w:r>
      <w:r w:rsidR="00885898">
        <w:rPr>
          <w:rFonts w:ascii="Arial Narrow" w:hAnsi="Arial Narrow"/>
        </w:rPr>
        <w:t xml:space="preserve"> anticipated hours of occupancy</w:t>
      </w:r>
      <w:r w:rsidR="00031EF6">
        <w:rPr>
          <w:rFonts w:ascii="Arial Narrow" w:hAnsi="Arial Narrow"/>
        </w:rPr>
        <w:t>.</w:t>
      </w:r>
    </w:p>
    <w:p w14:paraId="651EF559" w14:textId="542C2E88" w:rsidR="00031EF6" w:rsidRPr="00031EF6" w:rsidRDefault="00867125" w:rsidP="006C024D">
      <w:pPr>
        <w:spacing w:after="120" w:line="240" w:lineRule="auto"/>
        <w:ind w:left="360"/>
        <w:rPr>
          <w:rFonts w:ascii="Arial Narrow" w:hAnsi="Arial Narrow"/>
        </w:rPr>
      </w:pPr>
      <w:r>
        <w:rPr>
          <w:rFonts w:ascii="Arial Narrow" w:hAnsi="Arial Narrow" w:cs="Times New Roman"/>
        </w:rPr>
        <w:t>I</w:t>
      </w:r>
      <w:r w:rsidR="00031EF6" w:rsidRPr="00582FF1">
        <w:rPr>
          <w:rFonts w:ascii="Arial Narrow" w:hAnsi="Arial Narrow" w:cs="Times New Roman"/>
        </w:rPr>
        <w:t xml:space="preserve">n coordination with the U.S. Department of Energy and the Pacific Northwest National Laboratory, </w:t>
      </w:r>
      <w:r>
        <w:rPr>
          <w:rFonts w:ascii="Arial Narrow" w:hAnsi="Arial Narrow" w:cs="Times New Roman"/>
        </w:rPr>
        <w:t xml:space="preserve">EPA </w:t>
      </w:r>
      <w:r w:rsidR="00031EF6" w:rsidRPr="00582FF1">
        <w:rPr>
          <w:rFonts w:ascii="Arial Narrow" w:hAnsi="Arial Narrow" w:cs="Times New Roman"/>
        </w:rPr>
        <w:t xml:space="preserve">is developing a lighting </w:t>
      </w:r>
      <w:r w:rsidR="005D72C6" w:rsidRPr="00582FF1">
        <w:rPr>
          <w:rFonts w:ascii="Arial Narrow" w:hAnsi="Arial Narrow" w:cs="Times New Roman"/>
        </w:rPr>
        <w:t>EUI</w:t>
      </w:r>
      <w:r w:rsidR="00031EF6" w:rsidRPr="00582FF1">
        <w:rPr>
          <w:rFonts w:ascii="Arial Narrow" w:hAnsi="Arial Narrow" w:cs="Times New Roman"/>
        </w:rPr>
        <w:t xml:space="preserve"> metric and a tool that will allow applicants to calculate the lighting EUI of their designs. </w:t>
      </w:r>
    </w:p>
    <w:p w14:paraId="668683D6" w14:textId="0F012B7C" w:rsidR="00E06CF4" w:rsidRPr="00587E11" w:rsidRDefault="00DC4CC0" w:rsidP="006C024D">
      <w:pPr>
        <w:spacing w:after="120" w:line="240" w:lineRule="auto"/>
        <w:ind w:left="360"/>
        <w:rPr>
          <w:rFonts w:ascii="Arial Narrow" w:hAnsi="Arial Narrow"/>
        </w:rPr>
      </w:pPr>
      <w:r w:rsidRPr="003C634B">
        <w:rPr>
          <w:rFonts w:ascii="Arial Narrow" w:hAnsi="Arial Narrow"/>
          <w:i/>
        </w:rPr>
        <w:t xml:space="preserve">Proposed </w:t>
      </w:r>
      <w:r w:rsidR="00E21A86">
        <w:rPr>
          <w:rFonts w:ascii="Arial Narrow" w:hAnsi="Arial Narrow"/>
          <w:i/>
        </w:rPr>
        <w:t>Criterion</w:t>
      </w:r>
      <w:r w:rsidR="00700964" w:rsidRPr="003C634B">
        <w:rPr>
          <w:rFonts w:ascii="Arial Narrow" w:hAnsi="Arial Narrow"/>
          <w:i/>
        </w:rPr>
        <w:t xml:space="preserve"> </w:t>
      </w:r>
      <w:r w:rsidR="00E44BBB" w:rsidRPr="00867125">
        <w:rPr>
          <w:rFonts w:ascii="Arial Narrow" w:hAnsi="Arial Narrow"/>
          <w:i/>
          <w:u w:val="single"/>
        </w:rPr>
        <w:t>Option</w:t>
      </w:r>
      <w:r w:rsidR="00D24099" w:rsidRPr="00867125">
        <w:rPr>
          <w:rFonts w:ascii="Arial Narrow" w:hAnsi="Arial Narrow"/>
          <w:i/>
          <w:u w:val="single"/>
        </w:rPr>
        <w:t xml:space="preserve"> </w:t>
      </w:r>
      <w:r w:rsidR="00C668BB" w:rsidRPr="00867125">
        <w:rPr>
          <w:rFonts w:ascii="Arial Narrow" w:hAnsi="Arial Narrow"/>
          <w:i/>
          <w:u w:val="single"/>
        </w:rPr>
        <w:t>Two</w:t>
      </w:r>
      <w:r w:rsidR="00C668BB" w:rsidRPr="00130359">
        <w:rPr>
          <w:rFonts w:ascii="Arial Narrow" w:hAnsi="Arial Narrow"/>
          <w:i/>
        </w:rPr>
        <w:t xml:space="preserve">:  </w:t>
      </w:r>
      <w:r w:rsidR="00C668BB" w:rsidRPr="00130359">
        <w:rPr>
          <w:rFonts w:ascii="Arial Narrow" w:eastAsiaTheme="minorHAnsi" w:hAnsi="Arial Narrow" w:cs="Calibri"/>
          <w:color w:val="000000"/>
        </w:rPr>
        <w:t>Document that all inst</w:t>
      </w:r>
      <w:r w:rsidR="00885898">
        <w:rPr>
          <w:rFonts w:ascii="Arial Narrow" w:eastAsiaTheme="minorHAnsi" w:hAnsi="Arial Narrow" w:cs="Calibri"/>
          <w:color w:val="000000"/>
        </w:rPr>
        <w:t xml:space="preserve">alled lighting within the space </w:t>
      </w:r>
      <w:r w:rsidR="00C668BB" w:rsidRPr="00130359">
        <w:rPr>
          <w:rFonts w:ascii="Arial Narrow" w:eastAsiaTheme="minorHAnsi" w:hAnsi="Arial Narrow" w:cs="Calibri"/>
          <w:color w:val="000000"/>
        </w:rPr>
        <w:t xml:space="preserve">consists of </w:t>
      </w:r>
      <w:r w:rsidR="00885898">
        <w:rPr>
          <w:rFonts w:ascii="Arial Narrow" w:eastAsiaTheme="minorHAnsi" w:hAnsi="Arial Narrow" w:cs="Calibri"/>
          <w:color w:val="000000"/>
        </w:rPr>
        <w:t xml:space="preserve">or will consist of </w:t>
      </w:r>
      <w:r w:rsidR="00C668BB" w:rsidRPr="00130359">
        <w:rPr>
          <w:rFonts w:ascii="Arial Narrow" w:eastAsiaTheme="minorHAnsi" w:hAnsi="Arial Narrow" w:cs="Calibri"/>
          <w:color w:val="000000"/>
        </w:rPr>
        <w:t>LED technology.</w:t>
      </w:r>
    </w:p>
    <w:p w14:paraId="27F25B6E" w14:textId="774ACE31" w:rsidR="00E06CF4" w:rsidRPr="00587E11" w:rsidRDefault="00E06CF4" w:rsidP="006C024D">
      <w:pPr>
        <w:spacing w:after="0" w:line="240" w:lineRule="auto"/>
        <w:ind w:left="360"/>
        <w:rPr>
          <w:rFonts w:ascii="Arial Narrow" w:hAnsi="Arial Narrow"/>
        </w:rPr>
      </w:pPr>
      <w:r w:rsidRPr="00587E11">
        <w:rPr>
          <w:rFonts w:ascii="Arial Narrow" w:hAnsi="Arial Narrow"/>
          <w:i/>
        </w:rPr>
        <w:t>Questions for Public Comment:</w:t>
      </w:r>
    </w:p>
    <w:p w14:paraId="35C49460" w14:textId="2A303F5C" w:rsidR="00693F61" w:rsidRDefault="00587E11" w:rsidP="006C024D">
      <w:pPr>
        <w:pStyle w:val="Default"/>
        <w:numPr>
          <w:ilvl w:val="0"/>
          <w:numId w:val="9"/>
        </w:numPr>
        <w:spacing w:after="120"/>
        <w:ind w:left="1080"/>
        <w:rPr>
          <w:rFonts w:ascii="Arial Narrow" w:hAnsi="Arial Narrow"/>
          <w:sz w:val="22"/>
          <w:szCs w:val="22"/>
        </w:rPr>
      </w:pPr>
      <w:r>
        <w:rPr>
          <w:rFonts w:ascii="Arial Narrow" w:hAnsi="Arial Narrow"/>
          <w:sz w:val="22"/>
          <w:szCs w:val="22"/>
        </w:rPr>
        <w:t xml:space="preserve">Should EPA offer </w:t>
      </w:r>
      <w:r w:rsidR="00746D14">
        <w:rPr>
          <w:rFonts w:ascii="Arial Narrow" w:hAnsi="Arial Narrow"/>
          <w:sz w:val="22"/>
          <w:szCs w:val="22"/>
        </w:rPr>
        <w:t xml:space="preserve">the </w:t>
      </w:r>
      <w:r>
        <w:rPr>
          <w:rFonts w:ascii="Arial Narrow" w:hAnsi="Arial Narrow"/>
          <w:sz w:val="22"/>
          <w:szCs w:val="22"/>
        </w:rPr>
        <w:t>alternate compliance pathway</w:t>
      </w:r>
      <w:r w:rsidR="00353507">
        <w:rPr>
          <w:rFonts w:ascii="Arial Narrow" w:hAnsi="Arial Narrow"/>
          <w:sz w:val="22"/>
          <w:szCs w:val="22"/>
        </w:rPr>
        <w:t xml:space="preserve"> Option </w:t>
      </w:r>
      <w:r w:rsidR="00700964">
        <w:rPr>
          <w:rFonts w:ascii="Arial Narrow" w:hAnsi="Arial Narrow"/>
          <w:sz w:val="22"/>
          <w:szCs w:val="22"/>
        </w:rPr>
        <w:t>T</w:t>
      </w:r>
      <w:r w:rsidR="00353507">
        <w:rPr>
          <w:rFonts w:ascii="Arial Narrow" w:hAnsi="Arial Narrow"/>
          <w:sz w:val="22"/>
          <w:szCs w:val="22"/>
        </w:rPr>
        <w:t>wo</w:t>
      </w:r>
      <w:r w:rsidR="00746D14">
        <w:rPr>
          <w:rFonts w:ascii="Arial Narrow" w:hAnsi="Arial Narrow"/>
          <w:sz w:val="22"/>
          <w:szCs w:val="22"/>
        </w:rPr>
        <w:t xml:space="preserve"> as shown</w:t>
      </w:r>
      <w:r w:rsidR="00693F61">
        <w:rPr>
          <w:rFonts w:ascii="Arial Narrow" w:hAnsi="Arial Narrow"/>
          <w:sz w:val="22"/>
          <w:szCs w:val="22"/>
        </w:rPr>
        <w:t>, e</w:t>
      </w:r>
      <w:r>
        <w:rPr>
          <w:rFonts w:ascii="Arial Narrow" w:hAnsi="Arial Narrow"/>
          <w:sz w:val="22"/>
          <w:szCs w:val="22"/>
        </w:rPr>
        <w:t xml:space="preserve">.g., </w:t>
      </w:r>
      <w:r w:rsidR="00693F61">
        <w:rPr>
          <w:rFonts w:ascii="Arial Narrow" w:hAnsi="Arial Narrow"/>
          <w:sz w:val="22"/>
          <w:szCs w:val="22"/>
        </w:rPr>
        <w:t>all installed lighting (</w:t>
      </w:r>
      <w:r>
        <w:rPr>
          <w:rFonts w:ascii="Arial Narrow" w:hAnsi="Arial Narrow"/>
          <w:sz w:val="22"/>
          <w:szCs w:val="22"/>
        </w:rPr>
        <w:t>bulbs/fixtures for general, task, and specialty lighting applications</w:t>
      </w:r>
      <w:r w:rsidR="00693F61">
        <w:rPr>
          <w:rFonts w:ascii="Arial Narrow" w:hAnsi="Arial Narrow"/>
          <w:sz w:val="22"/>
          <w:szCs w:val="22"/>
        </w:rPr>
        <w:t>) is LED technology</w:t>
      </w:r>
      <w:r w:rsidR="005D72C6">
        <w:rPr>
          <w:rFonts w:ascii="Arial Narrow" w:hAnsi="Arial Narrow"/>
          <w:sz w:val="22"/>
          <w:szCs w:val="22"/>
        </w:rPr>
        <w:t xml:space="preserve">? </w:t>
      </w:r>
      <w:r w:rsidR="00693F61">
        <w:rPr>
          <w:rFonts w:ascii="Arial Narrow" w:hAnsi="Arial Narrow"/>
          <w:sz w:val="22"/>
          <w:szCs w:val="22"/>
        </w:rPr>
        <w:t>If so:</w:t>
      </w:r>
    </w:p>
    <w:p w14:paraId="493C6541" w14:textId="77777777" w:rsidR="00592096" w:rsidRDefault="00592096" w:rsidP="00693F61">
      <w:pPr>
        <w:pStyle w:val="Default"/>
        <w:numPr>
          <w:ilvl w:val="1"/>
          <w:numId w:val="9"/>
        </w:numPr>
        <w:spacing w:after="120"/>
        <w:rPr>
          <w:rFonts w:ascii="Arial Narrow" w:hAnsi="Arial Narrow"/>
          <w:sz w:val="22"/>
          <w:szCs w:val="22"/>
        </w:rPr>
      </w:pPr>
      <w:r>
        <w:rPr>
          <w:rFonts w:ascii="Arial Narrow" w:hAnsi="Arial Narrow"/>
          <w:sz w:val="22"/>
          <w:szCs w:val="22"/>
        </w:rPr>
        <w:t>Is a requirement for 100% LED technology feasible?</w:t>
      </w:r>
    </w:p>
    <w:p w14:paraId="54B36D5E" w14:textId="4FE63A8C" w:rsidR="00693F61" w:rsidRDefault="00592096" w:rsidP="00693F61">
      <w:pPr>
        <w:pStyle w:val="Default"/>
        <w:numPr>
          <w:ilvl w:val="1"/>
          <w:numId w:val="9"/>
        </w:numPr>
        <w:spacing w:after="120"/>
        <w:rPr>
          <w:rFonts w:ascii="Arial Narrow" w:hAnsi="Arial Narrow"/>
          <w:sz w:val="22"/>
          <w:szCs w:val="22"/>
        </w:rPr>
      </w:pPr>
      <w:r>
        <w:rPr>
          <w:rFonts w:ascii="Arial Narrow" w:hAnsi="Arial Narrow"/>
          <w:sz w:val="22"/>
          <w:szCs w:val="22"/>
        </w:rPr>
        <w:t>Are there applications for which readily available LED alternatives do not currently exist, and which would therefore require an exception</w:t>
      </w:r>
      <w:r w:rsidR="00353507">
        <w:rPr>
          <w:rFonts w:ascii="Arial Narrow" w:hAnsi="Arial Narrow"/>
          <w:sz w:val="22"/>
          <w:szCs w:val="22"/>
        </w:rPr>
        <w:t>?</w:t>
      </w:r>
    </w:p>
    <w:p w14:paraId="6BE74E88" w14:textId="300D5D07" w:rsidR="00693F61" w:rsidRPr="00693F61" w:rsidRDefault="005D72C6" w:rsidP="00693F61">
      <w:pPr>
        <w:pStyle w:val="Default"/>
        <w:numPr>
          <w:ilvl w:val="1"/>
          <w:numId w:val="9"/>
        </w:numPr>
        <w:spacing w:after="120"/>
        <w:rPr>
          <w:rFonts w:ascii="Arial Narrow" w:hAnsi="Arial Narrow"/>
          <w:sz w:val="22"/>
          <w:szCs w:val="22"/>
        </w:rPr>
      </w:pPr>
      <w:r>
        <w:rPr>
          <w:rFonts w:ascii="Arial Narrow" w:hAnsi="Arial Narrow"/>
          <w:sz w:val="22"/>
          <w:szCs w:val="22"/>
        </w:rPr>
        <w:t xml:space="preserve">Should EPA add a requirement for permanently installed </w:t>
      </w:r>
      <w:r w:rsidR="00693F61" w:rsidRPr="00693F61">
        <w:rPr>
          <w:rFonts w:ascii="Arial Narrow" w:hAnsi="Arial Narrow"/>
          <w:sz w:val="22"/>
          <w:szCs w:val="22"/>
        </w:rPr>
        <w:t>controls, or is use of LED technology even without controls sufficient to achieve top energy performance in operation?</w:t>
      </w:r>
    </w:p>
    <w:p w14:paraId="26FDFB9B" w14:textId="780BE0D9" w:rsidR="00693F61" w:rsidRPr="00693F61" w:rsidRDefault="00693F61" w:rsidP="00693F61">
      <w:pPr>
        <w:pStyle w:val="Default"/>
        <w:numPr>
          <w:ilvl w:val="0"/>
          <w:numId w:val="9"/>
        </w:numPr>
        <w:spacing w:after="120"/>
        <w:ind w:left="1080"/>
        <w:rPr>
          <w:rFonts w:ascii="Arial Narrow" w:hAnsi="Arial Narrow"/>
          <w:sz w:val="22"/>
          <w:szCs w:val="22"/>
        </w:rPr>
      </w:pPr>
      <w:r w:rsidRPr="00693F61">
        <w:rPr>
          <w:rFonts w:ascii="Arial Narrow" w:hAnsi="Arial Narrow"/>
          <w:sz w:val="22"/>
          <w:szCs w:val="22"/>
        </w:rPr>
        <w:t>Are there other requirements EPA should i</w:t>
      </w:r>
      <w:r w:rsidR="00592096">
        <w:rPr>
          <w:rFonts w:ascii="Arial Narrow" w:hAnsi="Arial Narrow"/>
          <w:sz w:val="22"/>
          <w:szCs w:val="22"/>
        </w:rPr>
        <w:t>nclude for meeting this criterion</w:t>
      </w:r>
      <w:r w:rsidRPr="00693F61">
        <w:rPr>
          <w:rFonts w:ascii="Arial Narrow" w:hAnsi="Arial Narrow"/>
          <w:sz w:val="22"/>
          <w:szCs w:val="22"/>
        </w:rPr>
        <w:t>?</w:t>
      </w:r>
    </w:p>
    <w:p w14:paraId="12EA6BC2" w14:textId="7329384A" w:rsidR="00693F61" w:rsidRDefault="00693F61" w:rsidP="00693F61">
      <w:pPr>
        <w:pStyle w:val="Default"/>
        <w:spacing w:after="120"/>
        <w:ind w:left="1080"/>
        <w:rPr>
          <w:rFonts w:ascii="Arial Narrow" w:hAnsi="Arial Narrow"/>
          <w:sz w:val="22"/>
          <w:szCs w:val="22"/>
        </w:rPr>
      </w:pPr>
      <w:r>
        <w:rPr>
          <w:rFonts w:ascii="Arial Narrow" w:hAnsi="Arial Narrow"/>
          <w:sz w:val="22"/>
          <w:szCs w:val="22"/>
        </w:rPr>
        <w:t xml:space="preserve"> </w:t>
      </w:r>
    </w:p>
    <w:p w14:paraId="349B9F46" w14:textId="025FA149" w:rsidR="00BC2F23" w:rsidRPr="003C634B" w:rsidRDefault="00BC2F23" w:rsidP="00D279F7">
      <w:pPr>
        <w:pStyle w:val="Default"/>
        <w:numPr>
          <w:ilvl w:val="0"/>
          <w:numId w:val="30"/>
        </w:numPr>
        <w:spacing w:after="240"/>
        <w:rPr>
          <w:rFonts w:ascii="Arial Narrow" w:hAnsi="Arial Narrow"/>
          <w:sz w:val="22"/>
          <w:szCs w:val="22"/>
          <w:u w:val="single"/>
        </w:rPr>
      </w:pPr>
      <w:r w:rsidRPr="003C634B">
        <w:rPr>
          <w:rFonts w:ascii="Arial Narrow" w:hAnsi="Arial Narrow"/>
          <w:sz w:val="22"/>
          <w:szCs w:val="22"/>
          <w:u w:val="single"/>
        </w:rPr>
        <w:t>Share</w:t>
      </w:r>
      <w:r w:rsidR="00DC4CC0" w:rsidRPr="003C634B">
        <w:rPr>
          <w:rFonts w:ascii="Arial Narrow" w:hAnsi="Arial Narrow"/>
          <w:sz w:val="22"/>
          <w:szCs w:val="22"/>
          <w:u w:val="single"/>
        </w:rPr>
        <w:t xml:space="preserve"> Data</w:t>
      </w:r>
    </w:p>
    <w:p w14:paraId="5EFEB2BF" w14:textId="2ACCDA14" w:rsidR="00DC4CC0" w:rsidRDefault="00094113" w:rsidP="006C024D">
      <w:pPr>
        <w:pStyle w:val="Default"/>
        <w:spacing w:after="240"/>
        <w:ind w:left="360"/>
        <w:rPr>
          <w:rFonts w:ascii="Arial Narrow" w:eastAsiaTheme="minorEastAsia" w:hAnsi="Arial Narrow" w:cstheme="minorBidi"/>
          <w:color w:val="auto"/>
          <w:sz w:val="22"/>
          <w:szCs w:val="22"/>
        </w:rPr>
      </w:pPr>
      <w:r>
        <w:rPr>
          <w:rFonts w:ascii="Arial Narrow" w:eastAsiaTheme="minorEastAsia" w:hAnsi="Arial Narrow" w:cstheme="minorBidi"/>
          <w:color w:val="auto"/>
          <w:sz w:val="22"/>
          <w:szCs w:val="22"/>
        </w:rPr>
        <w:t xml:space="preserve">One of the biggest barriers to </w:t>
      </w:r>
      <w:r w:rsidR="00CC3A2B">
        <w:rPr>
          <w:rFonts w:ascii="Arial Narrow" w:eastAsiaTheme="minorEastAsia" w:hAnsi="Arial Narrow" w:cstheme="minorBidi"/>
          <w:color w:val="auto"/>
          <w:sz w:val="22"/>
          <w:szCs w:val="22"/>
        </w:rPr>
        <w:t xml:space="preserve">improving </w:t>
      </w:r>
      <w:r w:rsidR="00D604C4">
        <w:rPr>
          <w:rFonts w:ascii="Arial Narrow" w:eastAsiaTheme="minorEastAsia" w:hAnsi="Arial Narrow" w:cstheme="minorBidi"/>
          <w:color w:val="auto"/>
          <w:sz w:val="22"/>
          <w:szCs w:val="22"/>
        </w:rPr>
        <w:t xml:space="preserve">whole building energy efficiency </w:t>
      </w:r>
      <w:r w:rsidR="00CC3A2B">
        <w:rPr>
          <w:rFonts w:ascii="Arial Narrow" w:eastAsiaTheme="minorEastAsia" w:hAnsi="Arial Narrow" w:cstheme="minorBidi"/>
          <w:color w:val="auto"/>
          <w:sz w:val="22"/>
          <w:szCs w:val="22"/>
        </w:rPr>
        <w:t xml:space="preserve">of </w:t>
      </w:r>
      <w:r w:rsidR="00EA539F">
        <w:rPr>
          <w:rFonts w:ascii="Arial Narrow" w:eastAsiaTheme="minorEastAsia" w:hAnsi="Arial Narrow" w:cstheme="minorBidi"/>
          <w:color w:val="auto"/>
          <w:sz w:val="22"/>
          <w:szCs w:val="22"/>
        </w:rPr>
        <w:t xml:space="preserve">multi-tenanted buildings </w:t>
      </w:r>
      <w:r w:rsidR="00D604C4">
        <w:rPr>
          <w:rFonts w:ascii="Arial Narrow" w:eastAsiaTheme="minorEastAsia" w:hAnsi="Arial Narrow" w:cstheme="minorBidi"/>
          <w:color w:val="auto"/>
          <w:sz w:val="22"/>
          <w:szCs w:val="22"/>
        </w:rPr>
        <w:t xml:space="preserve">is </w:t>
      </w:r>
      <w:r w:rsidR="00CC3A2B">
        <w:rPr>
          <w:rFonts w:ascii="Arial Narrow" w:eastAsiaTheme="minorEastAsia" w:hAnsi="Arial Narrow" w:cstheme="minorBidi"/>
          <w:color w:val="auto"/>
          <w:sz w:val="22"/>
          <w:szCs w:val="22"/>
        </w:rPr>
        <w:t xml:space="preserve">the </w:t>
      </w:r>
      <w:r w:rsidR="00D604C4">
        <w:rPr>
          <w:rFonts w:ascii="Arial Narrow" w:eastAsiaTheme="minorEastAsia" w:hAnsi="Arial Narrow" w:cstheme="minorBidi"/>
          <w:color w:val="auto"/>
          <w:sz w:val="22"/>
          <w:szCs w:val="22"/>
        </w:rPr>
        <w:t>lack of data on total energy use</w:t>
      </w:r>
      <w:r w:rsidR="00CC3A2B">
        <w:rPr>
          <w:rFonts w:ascii="Arial Narrow" w:eastAsiaTheme="minorEastAsia" w:hAnsi="Arial Narrow" w:cstheme="minorBidi"/>
          <w:color w:val="auto"/>
          <w:sz w:val="22"/>
          <w:szCs w:val="22"/>
        </w:rPr>
        <w:t xml:space="preserve"> of the building</w:t>
      </w:r>
      <w:r w:rsidR="00EA539F">
        <w:rPr>
          <w:rFonts w:ascii="Arial Narrow" w:eastAsiaTheme="minorEastAsia" w:hAnsi="Arial Narrow" w:cstheme="minorBidi"/>
          <w:color w:val="auto"/>
          <w:sz w:val="22"/>
          <w:szCs w:val="22"/>
        </w:rPr>
        <w:t xml:space="preserve">. </w:t>
      </w:r>
      <w:r w:rsidR="00CC3A2B">
        <w:rPr>
          <w:rFonts w:ascii="Arial Narrow" w:eastAsiaTheme="minorEastAsia" w:hAnsi="Arial Narrow" w:cstheme="minorBidi"/>
          <w:color w:val="auto"/>
          <w:sz w:val="22"/>
          <w:szCs w:val="22"/>
        </w:rPr>
        <w:t xml:space="preserve">Landlords often do not have access to data for those spaces for which the tenants pay their energy bills directly to the utility. Asking </w:t>
      </w:r>
      <w:r w:rsidR="00EA539F">
        <w:rPr>
          <w:rFonts w:ascii="Arial Narrow" w:eastAsiaTheme="minorEastAsia" w:hAnsi="Arial Narrow" w:cstheme="minorBidi"/>
          <w:color w:val="auto"/>
          <w:sz w:val="22"/>
          <w:szCs w:val="22"/>
        </w:rPr>
        <w:t>tenants to commit to sharing their data with the landlord for this ENERGY STAR recognition can help overcome this barrier. Further, sha</w:t>
      </w:r>
      <w:r w:rsidR="00B97888">
        <w:rPr>
          <w:rFonts w:ascii="Arial Narrow" w:eastAsiaTheme="minorEastAsia" w:hAnsi="Arial Narrow" w:cstheme="minorBidi"/>
          <w:color w:val="auto"/>
          <w:sz w:val="22"/>
          <w:szCs w:val="22"/>
        </w:rPr>
        <w:t>ring the data helps set the stag</w:t>
      </w:r>
      <w:r w:rsidR="00EA539F">
        <w:rPr>
          <w:rFonts w:ascii="Arial Narrow" w:eastAsiaTheme="minorEastAsia" w:hAnsi="Arial Narrow" w:cstheme="minorBidi"/>
          <w:color w:val="auto"/>
          <w:sz w:val="22"/>
          <w:szCs w:val="22"/>
        </w:rPr>
        <w:t>e for positive tenant-landlord engagement around energy efficiency.</w:t>
      </w:r>
    </w:p>
    <w:p w14:paraId="6D02E1B3" w14:textId="249E4381" w:rsidR="000A55C5" w:rsidRPr="00BD7F51" w:rsidRDefault="00E21A86" w:rsidP="000A55C5">
      <w:pPr>
        <w:pStyle w:val="Default"/>
        <w:spacing w:after="240"/>
        <w:ind w:left="360"/>
        <w:rPr>
          <w:rFonts w:ascii="Arial Narrow" w:eastAsiaTheme="minorEastAsia" w:hAnsi="Arial Narrow" w:cstheme="minorBidi"/>
          <w:color w:val="auto"/>
          <w:sz w:val="22"/>
          <w:szCs w:val="22"/>
        </w:rPr>
      </w:pPr>
      <w:r>
        <w:rPr>
          <w:rFonts w:ascii="Arial Narrow" w:eastAsiaTheme="minorEastAsia" w:hAnsi="Arial Narrow" w:cstheme="minorBidi"/>
          <w:i/>
          <w:color w:val="auto"/>
          <w:sz w:val="22"/>
          <w:szCs w:val="22"/>
        </w:rPr>
        <w:t>Proposed Criterion</w:t>
      </w:r>
      <w:r w:rsidR="00DC4CC0">
        <w:rPr>
          <w:rFonts w:ascii="Arial Narrow" w:eastAsiaTheme="minorEastAsia" w:hAnsi="Arial Narrow" w:cstheme="minorBidi"/>
          <w:color w:val="auto"/>
          <w:sz w:val="22"/>
          <w:szCs w:val="22"/>
        </w:rPr>
        <w:t xml:space="preserve">: </w:t>
      </w:r>
      <w:r w:rsidR="000A55C5">
        <w:rPr>
          <w:rFonts w:ascii="Arial Narrow" w:eastAsiaTheme="minorEastAsia" w:hAnsi="Arial Narrow" w:cstheme="minorBidi"/>
          <w:color w:val="auto"/>
          <w:sz w:val="22"/>
          <w:szCs w:val="22"/>
        </w:rPr>
        <w:t>Provide documentation that commits</w:t>
      </w:r>
      <w:r w:rsidR="0043439D">
        <w:rPr>
          <w:rFonts w:ascii="Arial Narrow" w:eastAsiaTheme="minorEastAsia" w:hAnsi="Arial Narrow" w:cstheme="minorBidi"/>
          <w:color w:val="auto"/>
          <w:sz w:val="22"/>
          <w:szCs w:val="22"/>
        </w:rPr>
        <w:t xml:space="preserve"> the tenant</w:t>
      </w:r>
      <w:r w:rsidR="000A55C5">
        <w:rPr>
          <w:rFonts w:ascii="Arial Narrow" w:eastAsiaTheme="minorEastAsia" w:hAnsi="Arial Narrow" w:cstheme="minorBidi"/>
          <w:color w:val="auto"/>
          <w:sz w:val="22"/>
          <w:szCs w:val="22"/>
        </w:rPr>
        <w:t xml:space="preserve"> to sharing </w:t>
      </w:r>
      <w:r w:rsidR="00CC3A2B">
        <w:rPr>
          <w:rFonts w:ascii="Arial Narrow" w:eastAsiaTheme="minorEastAsia" w:hAnsi="Arial Narrow" w:cstheme="minorBidi"/>
          <w:color w:val="auto"/>
          <w:sz w:val="22"/>
          <w:szCs w:val="22"/>
        </w:rPr>
        <w:t xml:space="preserve">its </w:t>
      </w:r>
      <w:r w:rsidR="00A27BAE">
        <w:rPr>
          <w:rFonts w:ascii="Arial Narrow" w:eastAsiaTheme="minorEastAsia" w:hAnsi="Arial Narrow" w:cstheme="minorBidi"/>
          <w:color w:val="auto"/>
          <w:sz w:val="22"/>
          <w:szCs w:val="22"/>
        </w:rPr>
        <w:t>energy</w:t>
      </w:r>
      <w:r w:rsidR="000A55C5">
        <w:rPr>
          <w:rFonts w:ascii="Arial Narrow" w:eastAsiaTheme="minorEastAsia" w:hAnsi="Arial Narrow" w:cstheme="minorBidi"/>
          <w:color w:val="auto"/>
          <w:sz w:val="22"/>
          <w:szCs w:val="22"/>
        </w:rPr>
        <w:t xml:space="preserve"> consumption data with the landlord</w:t>
      </w:r>
      <w:r w:rsidR="00B97888">
        <w:rPr>
          <w:rFonts w:ascii="Arial Narrow" w:hAnsi="Arial Narrow"/>
          <w:sz w:val="21"/>
          <w:szCs w:val="21"/>
        </w:rPr>
        <w:t xml:space="preserve">, at minimum on a monthly basis. </w:t>
      </w:r>
      <w:r w:rsidR="00E63347">
        <w:rPr>
          <w:rFonts w:ascii="Arial Narrow" w:hAnsi="Arial Narrow"/>
          <w:sz w:val="21"/>
          <w:szCs w:val="21"/>
        </w:rPr>
        <w:t xml:space="preserve">This includes IT energy data for tenant spaces in which a data center space exists. </w:t>
      </w:r>
      <w:r w:rsidR="00CC3A2B">
        <w:rPr>
          <w:rFonts w:ascii="Arial Narrow" w:hAnsi="Arial Narrow"/>
          <w:sz w:val="21"/>
          <w:szCs w:val="21"/>
        </w:rPr>
        <w:t xml:space="preserve">Documentation may take the form of an excerpt from an executed lease, a signed copy of a utility authorization form, or a letter of agreement signed by both the tenant and the landlord. </w:t>
      </w:r>
    </w:p>
    <w:p w14:paraId="4331CF28" w14:textId="6AB22DC9" w:rsidR="00CD113B" w:rsidRPr="00574498" w:rsidRDefault="00CD113B" w:rsidP="00D46302">
      <w:pPr>
        <w:pStyle w:val="Default"/>
        <w:spacing w:after="240"/>
        <w:ind w:left="360"/>
        <w:rPr>
          <w:rFonts w:ascii="Arial Narrow" w:eastAsiaTheme="minorEastAsia" w:hAnsi="Arial Narrow" w:cstheme="minorBidi"/>
          <w:i/>
          <w:color w:val="auto"/>
          <w:sz w:val="22"/>
          <w:szCs w:val="22"/>
        </w:rPr>
      </w:pPr>
      <w:r w:rsidRPr="00574498">
        <w:rPr>
          <w:rFonts w:ascii="Arial Narrow" w:eastAsiaTheme="minorEastAsia" w:hAnsi="Arial Narrow" w:cstheme="minorBidi"/>
          <w:i/>
          <w:color w:val="auto"/>
          <w:sz w:val="22"/>
          <w:szCs w:val="22"/>
        </w:rPr>
        <w:t>Questions for Public Comment:</w:t>
      </w:r>
    </w:p>
    <w:p w14:paraId="5172BBD0" w14:textId="6089F762" w:rsidR="00AF4C3C" w:rsidRPr="00AF4C3C" w:rsidRDefault="00CD113B" w:rsidP="00AF4C3C">
      <w:pPr>
        <w:pStyle w:val="Default"/>
        <w:numPr>
          <w:ilvl w:val="0"/>
          <w:numId w:val="26"/>
        </w:numPr>
        <w:spacing w:after="120"/>
        <w:ind w:left="1080"/>
        <w:rPr>
          <w:rFonts w:ascii="Arial Narrow" w:hAnsi="Arial Narrow"/>
          <w:sz w:val="22"/>
          <w:szCs w:val="22"/>
        </w:rPr>
      </w:pPr>
      <w:r w:rsidRPr="00574498">
        <w:rPr>
          <w:rFonts w:ascii="Arial Narrow" w:hAnsi="Arial Narrow"/>
          <w:sz w:val="22"/>
          <w:szCs w:val="22"/>
        </w:rPr>
        <w:t>Is there another form of documentation that would satisfy this requirement other than a lease</w:t>
      </w:r>
      <w:r w:rsidR="00560907">
        <w:rPr>
          <w:rFonts w:ascii="Arial Narrow" w:hAnsi="Arial Narrow"/>
          <w:sz w:val="22"/>
          <w:szCs w:val="22"/>
        </w:rPr>
        <w:t xml:space="preserve">, </w:t>
      </w:r>
      <w:r w:rsidRPr="00574498">
        <w:rPr>
          <w:rFonts w:ascii="Arial Narrow" w:hAnsi="Arial Narrow"/>
          <w:sz w:val="22"/>
          <w:szCs w:val="22"/>
        </w:rPr>
        <w:t>utility authorization form</w:t>
      </w:r>
      <w:r w:rsidR="00560907">
        <w:rPr>
          <w:rFonts w:ascii="Arial Narrow" w:hAnsi="Arial Narrow"/>
          <w:sz w:val="22"/>
          <w:szCs w:val="22"/>
        </w:rPr>
        <w:t>, or letter of agreement</w:t>
      </w:r>
      <w:r w:rsidRPr="00574498">
        <w:rPr>
          <w:rFonts w:ascii="Arial Narrow" w:hAnsi="Arial Narrow"/>
          <w:sz w:val="22"/>
          <w:szCs w:val="22"/>
        </w:rPr>
        <w:t>?</w:t>
      </w:r>
    </w:p>
    <w:p w14:paraId="399BF5C0" w14:textId="62F9D127" w:rsidR="00AF4C3C" w:rsidRDefault="00D46302" w:rsidP="00AF4C3C">
      <w:pPr>
        <w:pStyle w:val="Default"/>
        <w:numPr>
          <w:ilvl w:val="0"/>
          <w:numId w:val="26"/>
        </w:numPr>
        <w:spacing w:after="120"/>
        <w:ind w:left="1080"/>
        <w:rPr>
          <w:rFonts w:ascii="Arial Narrow" w:hAnsi="Arial Narrow"/>
          <w:sz w:val="22"/>
          <w:szCs w:val="22"/>
        </w:rPr>
      </w:pPr>
      <w:r w:rsidRPr="00D46302">
        <w:rPr>
          <w:rFonts w:ascii="Arial Narrow" w:hAnsi="Arial Narrow"/>
          <w:sz w:val="22"/>
          <w:szCs w:val="22"/>
        </w:rPr>
        <w:t xml:space="preserve">Are there other requirements EPA should include for meeting this </w:t>
      </w:r>
      <w:r w:rsidR="00592096">
        <w:rPr>
          <w:rFonts w:ascii="Arial Narrow" w:hAnsi="Arial Narrow"/>
          <w:sz w:val="22"/>
          <w:szCs w:val="22"/>
        </w:rPr>
        <w:t>criterion</w:t>
      </w:r>
      <w:r w:rsidRPr="00D46302">
        <w:rPr>
          <w:rFonts w:ascii="Arial Narrow" w:hAnsi="Arial Narrow"/>
          <w:sz w:val="22"/>
          <w:szCs w:val="22"/>
        </w:rPr>
        <w:t>?</w:t>
      </w:r>
    </w:p>
    <w:p w14:paraId="337EC920" w14:textId="447AAFAE" w:rsidR="00BC2F23" w:rsidRPr="003C634B" w:rsidRDefault="00BC2F23" w:rsidP="00D279F7">
      <w:pPr>
        <w:pStyle w:val="Default"/>
        <w:numPr>
          <w:ilvl w:val="0"/>
          <w:numId w:val="30"/>
        </w:numPr>
        <w:spacing w:after="240"/>
        <w:rPr>
          <w:rFonts w:ascii="Arial Narrow" w:hAnsi="Arial Narrow"/>
          <w:sz w:val="22"/>
          <w:szCs w:val="22"/>
          <w:u w:val="single"/>
        </w:rPr>
      </w:pPr>
      <w:r w:rsidRPr="003C634B">
        <w:rPr>
          <w:rFonts w:ascii="Arial Narrow" w:hAnsi="Arial Narrow"/>
          <w:sz w:val="22"/>
          <w:szCs w:val="22"/>
          <w:u w:val="single"/>
        </w:rPr>
        <w:lastRenderedPageBreak/>
        <w:t>Purchase</w:t>
      </w:r>
      <w:r w:rsidR="00883D6A" w:rsidRPr="003C634B">
        <w:rPr>
          <w:rFonts w:ascii="Arial Narrow" w:hAnsi="Arial Narrow"/>
          <w:sz w:val="22"/>
          <w:szCs w:val="22"/>
          <w:u w:val="single"/>
        </w:rPr>
        <w:t xml:space="preserve"> Efficient Equipment</w:t>
      </w:r>
    </w:p>
    <w:p w14:paraId="7706F6FD" w14:textId="59818004" w:rsidR="00DC7137" w:rsidRDefault="00DC7137" w:rsidP="006C024D">
      <w:pPr>
        <w:pStyle w:val="xmsonormal"/>
        <w:shd w:val="clear" w:color="auto" w:fill="FFFFFF"/>
        <w:spacing w:before="0" w:beforeAutospacing="0" w:after="0" w:afterAutospacing="0"/>
        <w:ind w:left="360"/>
        <w:rPr>
          <w:rFonts w:ascii="Arial Narrow" w:hAnsi="Arial Narrow"/>
          <w:sz w:val="22"/>
          <w:szCs w:val="22"/>
        </w:rPr>
      </w:pPr>
      <w:r>
        <w:rPr>
          <w:rFonts w:ascii="Arial Narrow" w:hAnsi="Arial Narrow" w:cs="Times New Roman"/>
          <w:sz w:val="22"/>
          <w:szCs w:val="22"/>
        </w:rPr>
        <w:t xml:space="preserve">Plug load reduction through the choice of ENERGY STAR </w:t>
      </w:r>
      <w:r w:rsidR="002547EF">
        <w:rPr>
          <w:rFonts w:ascii="Arial Narrow" w:hAnsi="Arial Narrow" w:cs="Times New Roman"/>
          <w:sz w:val="22"/>
          <w:szCs w:val="22"/>
        </w:rPr>
        <w:t xml:space="preserve">certified </w:t>
      </w:r>
      <w:r>
        <w:rPr>
          <w:rFonts w:ascii="Arial Narrow" w:hAnsi="Arial Narrow" w:cs="Times New Roman"/>
          <w:sz w:val="22"/>
          <w:szCs w:val="22"/>
        </w:rPr>
        <w:t>equipment is another powerful savings strategy; a recent study</w:t>
      </w:r>
      <w:r>
        <w:rPr>
          <w:rStyle w:val="FootnoteReference"/>
          <w:rFonts w:ascii="Arial Narrow" w:hAnsi="Arial Narrow" w:cs="Times New Roman"/>
          <w:sz w:val="22"/>
          <w:szCs w:val="22"/>
        </w:rPr>
        <w:footnoteReference w:id="6"/>
      </w:r>
      <w:r>
        <w:rPr>
          <w:rFonts w:ascii="Arial Narrow" w:hAnsi="Arial Narrow" w:cs="Times New Roman"/>
          <w:sz w:val="22"/>
          <w:szCs w:val="22"/>
        </w:rPr>
        <w:t xml:space="preserve"> attributed</w:t>
      </w:r>
      <w:r w:rsidR="00560907">
        <w:rPr>
          <w:rFonts w:ascii="Arial Narrow" w:hAnsi="Arial Narrow" w:cs="Times New Roman"/>
          <w:sz w:val="22"/>
          <w:szCs w:val="22"/>
        </w:rPr>
        <w:t xml:space="preserve"> savings of</w:t>
      </w:r>
      <w:r>
        <w:rPr>
          <w:rFonts w:ascii="Arial Narrow" w:hAnsi="Arial Narrow" w:cs="Times New Roman"/>
          <w:sz w:val="22"/>
          <w:szCs w:val="22"/>
        </w:rPr>
        <w:t xml:space="preserve"> </w:t>
      </w:r>
      <w:r w:rsidR="008276A9">
        <w:rPr>
          <w:rFonts w:ascii="Arial Narrow" w:hAnsi="Arial Narrow"/>
          <w:sz w:val="22"/>
          <w:szCs w:val="22"/>
        </w:rPr>
        <w:t>0.76 kWh/</w:t>
      </w:r>
      <w:r w:rsidR="004A4A35">
        <w:rPr>
          <w:rFonts w:ascii="Arial Narrow" w:hAnsi="Arial Narrow"/>
          <w:sz w:val="22"/>
          <w:szCs w:val="22"/>
        </w:rPr>
        <w:t>ft</w:t>
      </w:r>
      <w:r w:rsidR="004A4A35" w:rsidRPr="004A4A35">
        <w:rPr>
          <w:rFonts w:ascii="Arial Narrow" w:hAnsi="Arial Narrow"/>
          <w:sz w:val="22"/>
          <w:szCs w:val="22"/>
          <w:vertAlign w:val="superscript"/>
        </w:rPr>
        <w:t>2</w:t>
      </w:r>
      <w:r w:rsidR="008276A9">
        <w:rPr>
          <w:rFonts w:ascii="Arial Narrow" w:hAnsi="Arial Narrow"/>
          <w:sz w:val="22"/>
          <w:szCs w:val="22"/>
        </w:rPr>
        <w:t>/</w:t>
      </w:r>
      <w:r>
        <w:rPr>
          <w:rFonts w:ascii="Arial Narrow" w:hAnsi="Arial Narrow"/>
          <w:sz w:val="22"/>
          <w:szCs w:val="22"/>
        </w:rPr>
        <w:t xml:space="preserve">year to ENERGY STAR </w:t>
      </w:r>
      <w:r w:rsidRPr="00574498">
        <w:rPr>
          <w:rFonts w:ascii="Arial Narrow" w:hAnsi="Arial Narrow"/>
          <w:sz w:val="22"/>
          <w:szCs w:val="22"/>
        </w:rPr>
        <w:t xml:space="preserve">equipment upgrades </w:t>
      </w:r>
      <w:r>
        <w:rPr>
          <w:rFonts w:ascii="Arial Narrow" w:hAnsi="Arial Narrow"/>
          <w:sz w:val="22"/>
          <w:szCs w:val="22"/>
        </w:rPr>
        <w:t>in typical commercial office spaces.</w:t>
      </w:r>
    </w:p>
    <w:p w14:paraId="258CEA71" w14:textId="77777777" w:rsidR="00574FF8" w:rsidRDefault="00574FF8" w:rsidP="006C024D">
      <w:pPr>
        <w:pStyle w:val="xmsonormal"/>
        <w:shd w:val="clear" w:color="auto" w:fill="FFFFFF"/>
        <w:spacing w:before="0" w:beforeAutospacing="0" w:after="0" w:afterAutospacing="0"/>
        <w:ind w:left="360"/>
        <w:rPr>
          <w:rFonts w:ascii="Arial Narrow" w:hAnsi="Arial Narrow"/>
          <w:sz w:val="22"/>
          <w:szCs w:val="22"/>
        </w:rPr>
      </w:pPr>
    </w:p>
    <w:p w14:paraId="21F6A61F" w14:textId="31EEA0F1" w:rsidR="00BC2F23" w:rsidRPr="00130359" w:rsidRDefault="00E21A86" w:rsidP="006C024D">
      <w:pPr>
        <w:pStyle w:val="Default"/>
        <w:spacing w:after="240"/>
        <w:ind w:left="360"/>
        <w:rPr>
          <w:rFonts w:ascii="Arial Narrow" w:hAnsi="Arial Narrow"/>
          <w:sz w:val="22"/>
          <w:szCs w:val="22"/>
        </w:rPr>
      </w:pPr>
      <w:r>
        <w:rPr>
          <w:rFonts w:ascii="Arial Narrow" w:hAnsi="Arial Narrow"/>
          <w:i/>
          <w:sz w:val="22"/>
          <w:szCs w:val="22"/>
        </w:rPr>
        <w:t>Proposed Criterion</w:t>
      </w:r>
      <w:r w:rsidR="00A677C6">
        <w:rPr>
          <w:rFonts w:ascii="Arial Narrow" w:hAnsi="Arial Narrow"/>
          <w:sz w:val="22"/>
          <w:szCs w:val="22"/>
        </w:rPr>
        <w:t xml:space="preserve">: </w:t>
      </w:r>
      <w:r w:rsidR="00BC2F23" w:rsidRPr="00130359">
        <w:rPr>
          <w:rFonts w:ascii="Arial Narrow" w:hAnsi="Arial Narrow"/>
          <w:sz w:val="22"/>
          <w:szCs w:val="22"/>
        </w:rPr>
        <w:t xml:space="preserve">Demonstrate that </w:t>
      </w:r>
      <w:r w:rsidR="002547EF">
        <w:rPr>
          <w:rFonts w:ascii="Arial Narrow" w:hAnsi="Arial Narrow"/>
          <w:sz w:val="22"/>
          <w:szCs w:val="22"/>
        </w:rPr>
        <w:t xml:space="preserve">all </w:t>
      </w:r>
      <w:r w:rsidR="00BC2F23" w:rsidRPr="00130359">
        <w:rPr>
          <w:rFonts w:ascii="Arial Narrow" w:hAnsi="Arial Narrow"/>
          <w:sz w:val="22"/>
          <w:szCs w:val="22"/>
        </w:rPr>
        <w:t xml:space="preserve">eligible installed equipment </w:t>
      </w:r>
      <w:r w:rsidR="00F76682">
        <w:rPr>
          <w:rFonts w:ascii="Arial Narrow" w:hAnsi="Arial Narrow"/>
          <w:sz w:val="22"/>
          <w:szCs w:val="22"/>
        </w:rPr>
        <w:t>is</w:t>
      </w:r>
      <w:r w:rsidR="00BC2F23" w:rsidRPr="00130359">
        <w:rPr>
          <w:rFonts w:ascii="Arial Narrow" w:hAnsi="Arial Narrow"/>
          <w:sz w:val="22"/>
          <w:szCs w:val="22"/>
        </w:rPr>
        <w:t xml:space="preserve"> ENERGY STAR</w:t>
      </w:r>
      <w:r w:rsidR="00F76682">
        <w:rPr>
          <w:rFonts w:ascii="Arial Narrow" w:hAnsi="Arial Narrow"/>
          <w:sz w:val="22"/>
          <w:szCs w:val="22"/>
        </w:rPr>
        <w:t xml:space="preserve"> certified</w:t>
      </w:r>
      <w:r w:rsidR="00BC2F23" w:rsidRPr="00130359">
        <w:rPr>
          <w:rFonts w:ascii="Arial Narrow" w:hAnsi="Arial Narrow"/>
          <w:sz w:val="22"/>
          <w:szCs w:val="22"/>
        </w:rPr>
        <w:t>, including computers, printers,</w:t>
      </w:r>
      <w:r w:rsidR="00560907">
        <w:rPr>
          <w:rFonts w:ascii="Arial Narrow" w:hAnsi="Arial Narrow"/>
          <w:sz w:val="22"/>
          <w:szCs w:val="22"/>
        </w:rPr>
        <w:t xml:space="preserve"> televisions, water coolers, </w:t>
      </w:r>
      <w:r w:rsidR="00BC2F23" w:rsidRPr="00130359">
        <w:rPr>
          <w:rFonts w:ascii="Arial Narrow" w:hAnsi="Arial Narrow"/>
          <w:sz w:val="22"/>
          <w:szCs w:val="22"/>
        </w:rPr>
        <w:t>kitchen appliances</w:t>
      </w:r>
      <w:r w:rsidR="00560907">
        <w:rPr>
          <w:rFonts w:ascii="Arial Narrow" w:hAnsi="Arial Narrow"/>
          <w:sz w:val="22"/>
          <w:szCs w:val="22"/>
        </w:rPr>
        <w:t>, and any other equipment for which ENERGY STAR certified models are available</w:t>
      </w:r>
      <w:r w:rsidR="00BC2F23" w:rsidRPr="00130359">
        <w:rPr>
          <w:rFonts w:ascii="Arial Narrow" w:hAnsi="Arial Narrow"/>
          <w:sz w:val="22"/>
          <w:szCs w:val="22"/>
        </w:rPr>
        <w:t xml:space="preserve">. </w:t>
      </w:r>
      <w:r w:rsidR="003E0769">
        <w:rPr>
          <w:rFonts w:ascii="Arial Narrow" w:hAnsi="Arial Narrow"/>
          <w:sz w:val="22"/>
          <w:szCs w:val="22"/>
        </w:rPr>
        <w:t xml:space="preserve">This requirement also applies to ENERGY STAR eligible HVAC and data center </w:t>
      </w:r>
      <w:r w:rsidR="00560907">
        <w:rPr>
          <w:rFonts w:ascii="Arial Narrow" w:hAnsi="Arial Narrow"/>
          <w:sz w:val="22"/>
          <w:szCs w:val="22"/>
        </w:rPr>
        <w:t>equipment</w:t>
      </w:r>
      <w:r w:rsidR="003E0769">
        <w:rPr>
          <w:rFonts w:ascii="Arial Narrow" w:hAnsi="Arial Narrow"/>
          <w:sz w:val="22"/>
          <w:szCs w:val="22"/>
        </w:rPr>
        <w:t xml:space="preserve"> if installed or replaced by the tenant.</w:t>
      </w:r>
      <w:r w:rsidR="00560907" w:rsidRPr="00560907">
        <w:rPr>
          <w:rFonts w:ascii="Arial Narrow" w:hAnsi="Arial Narrow"/>
          <w:sz w:val="22"/>
          <w:szCs w:val="22"/>
        </w:rPr>
        <w:t xml:space="preserve"> </w:t>
      </w:r>
      <w:r w:rsidR="00560907" w:rsidRPr="00130359">
        <w:rPr>
          <w:rFonts w:ascii="Arial Narrow" w:hAnsi="Arial Narrow"/>
          <w:sz w:val="22"/>
          <w:szCs w:val="22"/>
        </w:rPr>
        <w:t>For a full list of eligible product</w:t>
      </w:r>
      <w:r w:rsidR="00560907">
        <w:rPr>
          <w:rFonts w:ascii="Arial Narrow" w:hAnsi="Arial Narrow"/>
          <w:sz w:val="22"/>
          <w:szCs w:val="22"/>
        </w:rPr>
        <w:t xml:space="preserve"> categories and models</w:t>
      </w:r>
      <w:r w:rsidR="00560907" w:rsidRPr="00130359">
        <w:rPr>
          <w:rFonts w:ascii="Arial Narrow" w:hAnsi="Arial Narrow"/>
          <w:sz w:val="22"/>
          <w:szCs w:val="22"/>
        </w:rPr>
        <w:t xml:space="preserve">, visit </w:t>
      </w:r>
      <w:hyperlink r:id="rId14" w:history="1">
        <w:r w:rsidR="00560907" w:rsidRPr="00130359">
          <w:rPr>
            <w:rStyle w:val="Hyperlink"/>
            <w:rFonts w:ascii="Arial Narrow" w:hAnsi="Arial Narrow"/>
            <w:sz w:val="22"/>
            <w:szCs w:val="22"/>
          </w:rPr>
          <w:t>energystar.gov/products</w:t>
        </w:r>
      </w:hyperlink>
      <w:r w:rsidR="00560907" w:rsidRPr="00130359">
        <w:rPr>
          <w:rFonts w:ascii="Arial Narrow" w:hAnsi="Arial Narrow"/>
          <w:sz w:val="22"/>
          <w:szCs w:val="22"/>
        </w:rPr>
        <w:t>.</w:t>
      </w:r>
    </w:p>
    <w:p w14:paraId="0E4FB068" w14:textId="61A6902F" w:rsidR="00003100" w:rsidRPr="00130359" w:rsidRDefault="00003100" w:rsidP="006C024D">
      <w:pPr>
        <w:pStyle w:val="Default"/>
        <w:spacing w:after="240"/>
        <w:ind w:left="360"/>
        <w:rPr>
          <w:rFonts w:ascii="Arial Narrow" w:hAnsi="Arial Narrow"/>
          <w:sz w:val="22"/>
          <w:szCs w:val="22"/>
        </w:rPr>
      </w:pPr>
      <w:r w:rsidRPr="00130359">
        <w:rPr>
          <w:rFonts w:ascii="Arial Narrow" w:hAnsi="Arial Narrow"/>
          <w:sz w:val="22"/>
          <w:szCs w:val="22"/>
        </w:rPr>
        <w:t xml:space="preserve">Documentation may be provided through an executed lease agreement </w:t>
      </w:r>
      <w:r w:rsidR="002D3BAA">
        <w:rPr>
          <w:rFonts w:ascii="Arial Narrow" w:hAnsi="Arial Narrow"/>
          <w:sz w:val="22"/>
          <w:szCs w:val="22"/>
        </w:rPr>
        <w:t xml:space="preserve">or other document </w:t>
      </w:r>
      <w:r w:rsidRPr="00130359">
        <w:rPr>
          <w:rFonts w:ascii="Arial Narrow" w:hAnsi="Arial Narrow"/>
          <w:sz w:val="22"/>
          <w:szCs w:val="22"/>
        </w:rPr>
        <w:t>that stipulates ENERGY STAR certified products.</w:t>
      </w:r>
    </w:p>
    <w:p w14:paraId="222F41A7" w14:textId="77777777" w:rsidR="00BC2F23" w:rsidRPr="00130359" w:rsidRDefault="00A06B9B" w:rsidP="006C024D">
      <w:pPr>
        <w:pStyle w:val="Default"/>
        <w:ind w:left="360"/>
        <w:rPr>
          <w:rFonts w:ascii="Arial Narrow" w:hAnsi="Arial Narrow"/>
          <w:i/>
          <w:sz w:val="22"/>
          <w:szCs w:val="22"/>
        </w:rPr>
      </w:pPr>
      <w:r w:rsidRPr="00130359">
        <w:rPr>
          <w:rFonts w:ascii="Arial Narrow" w:hAnsi="Arial Narrow"/>
          <w:i/>
          <w:sz w:val="22"/>
          <w:szCs w:val="22"/>
        </w:rPr>
        <w:t>Questions for Public Comment:</w:t>
      </w:r>
    </w:p>
    <w:p w14:paraId="30CB7BE3" w14:textId="77777777" w:rsidR="00ED72AD" w:rsidRDefault="00A06B9B" w:rsidP="00ED72AD">
      <w:pPr>
        <w:pStyle w:val="Default"/>
        <w:numPr>
          <w:ilvl w:val="0"/>
          <w:numId w:val="25"/>
        </w:numPr>
        <w:spacing w:after="240"/>
        <w:ind w:left="1080"/>
        <w:rPr>
          <w:rFonts w:ascii="Arial Narrow" w:hAnsi="Arial Narrow"/>
          <w:sz w:val="22"/>
          <w:szCs w:val="22"/>
        </w:rPr>
      </w:pPr>
      <w:r w:rsidRPr="00130359">
        <w:rPr>
          <w:rFonts w:ascii="Arial Narrow" w:hAnsi="Arial Narrow"/>
          <w:sz w:val="22"/>
          <w:szCs w:val="22"/>
        </w:rPr>
        <w:t>Is 100% of eligible products too high a threshold? If EPA should consider a lower threshold for this requirement, what is realistic?</w:t>
      </w:r>
    </w:p>
    <w:p w14:paraId="21A8CC9F" w14:textId="4C905792" w:rsidR="00ED72AD" w:rsidRPr="00ED72AD" w:rsidRDefault="00ED72AD" w:rsidP="00ED72AD">
      <w:pPr>
        <w:pStyle w:val="Default"/>
        <w:numPr>
          <w:ilvl w:val="0"/>
          <w:numId w:val="25"/>
        </w:numPr>
        <w:spacing w:after="240"/>
        <w:ind w:left="1080"/>
        <w:rPr>
          <w:rFonts w:ascii="Arial Narrow" w:hAnsi="Arial Narrow"/>
          <w:sz w:val="22"/>
          <w:szCs w:val="22"/>
        </w:rPr>
      </w:pPr>
      <w:r w:rsidRPr="00ED72AD">
        <w:rPr>
          <w:rFonts w:ascii="Arial Narrow" w:hAnsi="Arial Narrow"/>
          <w:sz w:val="22"/>
          <w:szCs w:val="22"/>
        </w:rPr>
        <w:t xml:space="preserve">Are there other requirements EPA should include for meeting this </w:t>
      </w:r>
      <w:r w:rsidR="00592096">
        <w:rPr>
          <w:rFonts w:ascii="Arial Narrow" w:hAnsi="Arial Narrow"/>
          <w:sz w:val="22"/>
          <w:szCs w:val="22"/>
        </w:rPr>
        <w:t>criterion</w:t>
      </w:r>
      <w:r w:rsidRPr="00ED72AD">
        <w:rPr>
          <w:rFonts w:ascii="Arial Narrow" w:hAnsi="Arial Narrow"/>
          <w:sz w:val="22"/>
          <w:szCs w:val="22"/>
        </w:rPr>
        <w:t>?</w:t>
      </w:r>
    </w:p>
    <w:p w14:paraId="6889D4E8" w14:textId="77777777" w:rsidR="00A06B9B" w:rsidRPr="00BD7F51" w:rsidRDefault="00A06B9B" w:rsidP="00724C2D">
      <w:pPr>
        <w:pStyle w:val="Default"/>
        <w:rPr>
          <w:rFonts w:ascii="Arial Narrow" w:hAnsi="Arial Narrow"/>
          <w:sz w:val="22"/>
          <w:szCs w:val="22"/>
        </w:rPr>
      </w:pPr>
    </w:p>
    <w:p w14:paraId="5DD8ACAC" w14:textId="212EE5DC" w:rsidR="00094113" w:rsidRDefault="004F3CEC" w:rsidP="00A34376">
      <w:pPr>
        <w:pStyle w:val="Title"/>
        <w:rPr>
          <w:rStyle w:val="IntenseReference"/>
          <w:sz w:val="32"/>
          <w:szCs w:val="32"/>
        </w:rPr>
      </w:pPr>
      <w:r w:rsidRPr="00A34376">
        <w:rPr>
          <w:rStyle w:val="IntenseReference"/>
          <w:sz w:val="32"/>
          <w:szCs w:val="32"/>
        </w:rPr>
        <w:t>Additional</w:t>
      </w:r>
      <w:r w:rsidR="00094113" w:rsidRPr="00A34376">
        <w:rPr>
          <w:rStyle w:val="IntenseReference"/>
          <w:sz w:val="32"/>
          <w:szCs w:val="32"/>
        </w:rPr>
        <w:t xml:space="preserve"> </w:t>
      </w:r>
      <w:r w:rsidR="0071105D">
        <w:rPr>
          <w:rStyle w:val="IntenseReference"/>
          <w:sz w:val="32"/>
          <w:szCs w:val="32"/>
        </w:rPr>
        <w:t xml:space="preserve">Key </w:t>
      </w:r>
      <w:r w:rsidR="00094113" w:rsidRPr="00A34376">
        <w:rPr>
          <w:rStyle w:val="IntenseReference"/>
          <w:sz w:val="32"/>
          <w:szCs w:val="32"/>
        </w:rPr>
        <w:t>Questions</w:t>
      </w:r>
    </w:p>
    <w:p w14:paraId="4882CC8B" w14:textId="77777777" w:rsidR="00FA35C5" w:rsidRDefault="00FA35C5" w:rsidP="00FA35C5">
      <w:pPr>
        <w:pStyle w:val="Default"/>
        <w:numPr>
          <w:ilvl w:val="0"/>
          <w:numId w:val="14"/>
        </w:numPr>
        <w:spacing w:after="120"/>
        <w:rPr>
          <w:rFonts w:ascii="Arial Narrow" w:hAnsi="Arial Narrow"/>
          <w:sz w:val="22"/>
          <w:szCs w:val="22"/>
        </w:rPr>
      </w:pPr>
      <w:r>
        <w:rPr>
          <w:rFonts w:ascii="Arial Narrow" w:hAnsi="Arial Narrow"/>
          <w:sz w:val="22"/>
          <w:szCs w:val="22"/>
        </w:rPr>
        <w:t>A tenant in an existing lease may be able to satisfy all of the proposed criteria, though some modification to the criteria would be needed (e.g., submission of metered, rather than projected, energy use; actual, rather than projected, lighting EUI). Should EPA make the recognition available to tenants in existing leases?</w:t>
      </w:r>
    </w:p>
    <w:p w14:paraId="74A45F6E" w14:textId="6E39E626" w:rsidR="007E043E" w:rsidRDefault="00D2389B" w:rsidP="007E043E">
      <w:pPr>
        <w:pStyle w:val="Default"/>
        <w:numPr>
          <w:ilvl w:val="0"/>
          <w:numId w:val="14"/>
        </w:numPr>
        <w:spacing w:after="120"/>
        <w:rPr>
          <w:rFonts w:ascii="Arial Narrow" w:hAnsi="Arial Narrow"/>
          <w:sz w:val="22"/>
          <w:szCs w:val="22"/>
        </w:rPr>
      </w:pPr>
      <w:r>
        <w:rPr>
          <w:rFonts w:ascii="Arial Narrow" w:hAnsi="Arial Narrow"/>
          <w:sz w:val="22"/>
          <w:szCs w:val="22"/>
        </w:rPr>
        <w:t xml:space="preserve">Selecting a high performing building – with good systems and management that focuses on achieving and maintaining efficiency – sets the stage for efficient tenant spaces. Should </w:t>
      </w:r>
      <w:r w:rsidR="006B2921">
        <w:rPr>
          <w:rFonts w:ascii="Arial Narrow" w:hAnsi="Arial Narrow"/>
          <w:sz w:val="22"/>
          <w:szCs w:val="22"/>
        </w:rPr>
        <w:t xml:space="preserve">this recognition be available only for tenant spaces </w:t>
      </w:r>
      <w:r>
        <w:rPr>
          <w:rFonts w:ascii="Arial Narrow" w:hAnsi="Arial Narrow"/>
          <w:sz w:val="22"/>
          <w:szCs w:val="22"/>
        </w:rPr>
        <w:t xml:space="preserve">in ENERGY STAR certified buildings? </w:t>
      </w:r>
    </w:p>
    <w:p w14:paraId="4CCCC1D8" w14:textId="400A2279" w:rsidR="00710375" w:rsidRDefault="00710375" w:rsidP="007E043E">
      <w:pPr>
        <w:pStyle w:val="Default"/>
        <w:numPr>
          <w:ilvl w:val="0"/>
          <w:numId w:val="14"/>
        </w:numPr>
        <w:spacing w:after="120"/>
        <w:rPr>
          <w:rFonts w:ascii="Arial Narrow" w:hAnsi="Arial Narrow"/>
          <w:sz w:val="22"/>
          <w:szCs w:val="22"/>
        </w:rPr>
      </w:pPr>
      <w:r>
        <w:rPr>
          <w:rFonts w:ascii="Arial Narrow" w:hAnsi="Arial Narrow"/>
          <w:sz w:val="22"/>
          <w:szCs w:val="22"/>
        </w:rPr>
        <w:t xml:space="preserve">Tenants who do not directly pay the utility for their energy use may have less incentive to maintain high performance and/or make upgrades. </w:t>
      </w:r>
      <w:r w:rsidR="00FA35C5">
        <w:rPr>
          <w:rFonts w:ascii="Arial Narrow" w:hAnsi="Arial Narrow"/>
          <w:sz w:val="22"/>
          <w:szCs w:val="22"/>
        </w:rPr>
        <w:t>Should EPA make this recognition available only to tenants that pay directly for their energy use?</w:t>
      </w:r>
    </w:p>
    <w:p w14:paraId="048E1AE4" w14:textId="2DC35B8B" w:rsidR="00B75640" w:rsidRPr="00B75640" w:rsidRDefault="000D1A8D" w:rsidP="00B75640">
      <w:pPr>
        <w:pStyle w:val="Default"/>
        <w:numPr>
          <w:ilvl w:val="0"/>
          <w:numId w:val="14"/>
        </w:numPr>
        <w:spacing w:after="120"/>
        <w:rPr>
          <w:rFonts w:ascii="Arial Narrow" w:hAnsi="Arial Narrow"/>
          <w:sz w:val="22"/>
          <w:szCs w:val="22"/>
        </w:rPr>
      </w:pPr>
      <w:r>
        <w:rPr>
          <w:rFonts w:ascii="Arial Narrow" w:hAnsi="Arial Narrow"/>
          <w:sz w:val="22"/>
          <w:szCs w:val="22"/>
        </w:rPr>
        <w:t xml:space="preserve">What form of award do you suggest that EPA provide for tenants and other stakeholders who submit successful applications, e.g. a physical award to display (such as </w:t>
      </w:r>
      <w:r w:rsidR="00FA35C5">
        <w:rPr>
          <w:rFonts w:ascii="Arial Narrow" w:hAnsi="Arial Narrow"/>
          <w:sz w:val="22"/>
          <w:szCs w:val="22"/>
        </w:rPr>
        <w:t>a plaque</w:t>
      </w:r>
      <w:r>
        <w:rPr>
          <w:rFonts w:ascii="Arial Narrow" w:hAnsi="Arial Narrow"/>
          <w:sz w:val="22"/>
          <w:szCs w:val="22"/>
        </w:rPr>
        <w:t>)</w:t>
      </w:r>
      <w:r w:rsidR="00D60433">
        <w:rPr>
          <w:rFonts w:ascii="Arial Narrow" w:hAnsi="Arial Narrow"/>
          <w:sz w:val="22"/>
          <w:szCs w:val="22"/>
        </w:rPr>
        <w:t xml:space="preserve">, </w:t>
      </w:r>
      <w:r>
        <w:rPr>
          <w:rFonts w:ascii="Arial Narrow" w:hAnsi="Arial Narrow"/>
          <w:sz w:val="22"/>
          <w:szCs w:val="22"/>
        </w:rPr>
        <w:t>a decal for the door of the tenant suite, a certificate</w:t>
      </w:r>
      <w:r w:rsidR="00D60433">
        <w:rPr>
          <w:rFonts w:ascii="Arial Narrow" w:hAnsi="Arial Narrow"/>
          <w:sz w:val="22"/>
          <w:szCs w:val="22"/>
        </w:rPr>
        <w:t>, listing on the ENERGY STAR website, etc.</w:t>
      </w:r>
      <w:r w:rsidR="00B75640">
        <w:rPr>
          <w:rFonts w:ascii="Arial Narrow" w:hAnsi="Arial Narrow"/>
          <w:sz w:val="22"/>
          <w:szCs w:val="22"/>
        </w:rPr>
        <w:t xml:space="preserve">? </w:t>
      </w:r>
      <w:r w:rsidR="00B75640" w:rsidRPr="00B75640">
        <w:rPr>
          <w:rFonts w:ascii="Arial Narrow" w:hAnsi="Arial Narrow"/>
          <w:sz w:val="22"/>
          <w:szCs w:val="22"/>
        </w:rPr>
        <w:t>Would this recognition cause confusion if it is advertised in a building that also has achieved ENERGY STAR certification?</w:t>
      </w:r>
    </w:p>
    <w:p w14:paraId="54A4004A" w14:textId="26D8441C" w:rsidR="00C473F1" w:rsidRDefault="00421D73" w:rsidP="00372C4B">
      <w:pPr>
        <w:pStyle w:val="Default"/>
        <w:numPr>
          <w:ilvl w:val="0"/>
          <w:numId w:val="14"/>
        </w:numPr>
        <w:spacing w:after="120"/>
        <w:rPr>
          <w:rFonts w:ascii="Arial Narrow" w:hAnsi="Arial Narrow"/>
          <w:sz w:val="22"/>
          <w:szCs w:val="22"/>
        </w:rPr>
      </w:pPr>
      <w:r>
        <w:rPr>
          <w:rFonts w:ascii="Arial Narrow" w:hAnsi="Arial Narrow"/>
          <w:sz w:val="22"/>
          <w:szCs w:val="22"/>
        </w:rPr>
        <w:t>To take advantage of the existing program framework, infrastructure, and public awareness, EPA will offer t</w:t>
      </w:r>
      <w:r w:rsidR="006B6D91">
        <w:rPr>
          <w:rFonts w:ascii="Arial Narrow" w:hAnsi="Arial Narrow"/>
          <w:sz w:val="22"/>
          <w:szCs w:val="22"/>
        </w:rPr>
        <w:t xml:space="preserve">he recognition </w:t>
      </w:r>
      <w:r>
        <w:rPr>
          <w:rFonts w:ascii="Arial Narrow" w:hAnsi="Arial Narrow"/>
          <w:sz w:val="22"/>
          <w:szCs w:val="22"/>
        </w:rPr>
        <w:t xml:space="preserve">through the </w:t>
      </w:r>
      <w:r w:rsidR="006B6D91">
        <w:rPr>
          <w:rFonts w:ascii="Arial Narrow" w:hAnsi="Arial Narrow"/>
          <w:sz w:val="22"/>
          <w:szCs w:val="22"/>
        </w:rPr>
        <w:t xml:space="preserve">ENERGY STAR program. Calling it “Tenant Star” would be confusing. </w:t>
      </w:r>
      <w:r>
        <w:rPr>
          <w:rFonts w:ascii="Arial Narrow" w:hAnsi="Arial Narrow"/>
          <w:sz w:val="22"/>
          <w:szCs w:val="22"/>
        </w:rPr>
        <w:t xml:space="preserve">What should be the focus of the new recognition? That is, should it refer to ENERGY STAR tenants, tenant </w:t>
      </w:r>
      <w:bookmarkStart w:id="0" w:name="_GoBack"/>
      <w:bookmarkEnd w:id="0"/>
      <w:r>
        <w:rPr>
          <w:rFonts w:ascii="Arial Narrow" w:hAnsi="Arial Narrow"/>
          <w:sz w:val="22"/>
          <w:szCs w:val="22"/>
        </w:rPr>
        <w:t xml:space="preserve">spaces, efficient build-out, efficient equipment, or something else? </w:t>
      </w:r>
    </w:p>
    <w:p w14:paraId="5B282A0C" w14:textId="384FDAB9" w:rsidR="000B41BE" w:rsidRDefault="000B41BE" w:rsidP="00372C4B">
      <w:pPr>
        <w:pStyle w:val="Default"/>
        <w:numPr>
          <w:ilvl w:val="0"/>
          <w:numId w:val="14"/>
        </w:numPr>
        <w:spacing w:after="120"/>
        <w:rPr>
          <w:rFonts w:ascii="Arial Narrow" w:hAnsi="Arial Narrow"/>
          <w:sz w:val="22"/>
          <w:szCs w:val="22"/>
        </w:rPr>
      </w:pPr>
      <w:r>
        <w:rPr>
          <w:rFonts w:ascii="Arial Narrow" w:hAnsi="Arial Narrow"/>
          <w:sz w:val="22"/>
          <w:szCs w:val="22"/>
        </w:rPr>
        <w:t>Should there be a minimum size (square feet) for a tenant space to be eligible?</w:t>
      </w:r>
    </w:p>
    <w:p w14:paraId="3144740D" w14:textId="6A86B2E9" w:rsidR="00890AC0" w:rsidRPr="00372C4B" w:rsidRDefault="00890AC0" w:rsidP="00890AC0">
      <w:pPr>
        <w:pStyle w:val="Default"/>
        <w:spacing w:after="120"/>
        <w:rPr>
          <w:rFonts w:ascii="Arial Narrow" w:hAnsi="Arial Narrow"/>
          <w:sz w:val="22"/>
          <w:szCs w:val="22"/>
        </w:rPr>
      </w:pPr>
      <w:r w:rsidRPr="00890AC0">
        <w:rPr>
          <w:rFonts w:ascii="Arial Narrow" w:hAnsi="Arial Narrow"/>
          <w:noProof/>
          <w:sz w:val="22"/>
          <w:szCs w:val="22"/>
        </w:rPr>
        <mc:AlternateContent>
          <mc:Choice Requires="wps">
            <w:drawing>
              <wp:anchor distT="45720" distB="45720" distL="114300" distR="114300" simplePos="0" relativeHeight="251659264" behindDoc="0" locked="0" layoutInCell="1" allowOverlap="1" wp14:anchorId="1E473915" wp14:editId="02E45504">
                <wp:simplePos x="0" y="0"/>
                <wp:positionH relativeFrom="margin">
                  <wp:posOffset>3571875</wp:posOffset>
                </wp:positionH>
                <wp:positionV relativeFrom="margin">
                  <wp:posOffset>7170420</wp:posOffset>
                </wp:positionV>
                <wp:extent cx="2360930" cy="476250"/>
                <wp:effectExtent l="0" t="0" r="381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76250"/>
                        </a:xfrm>
                        <a:prstGeom prst="rect">
                          <a:avLst/>
                        </a:prstGeom>
                        <a:solidFill>
                          <a:schemeClr val="bg1">
                            <a:lumMod val="95000"/>
                          </a:schemeClr>
                        </a:solidFill>
                        <a:ln w="9525">
                          <a:noFill/>
                          <a:miter lim="800000"/>
                          <a:headEnd/>
                          <a:tailEnd/>
                        </a:ln>
                      </wps:spPr>
                      <wps:txbx>
                        <w:txbxContent>
                          <w:p w14:paraId="05BA3C02" w14:textId="77777777" w:rsidR="00890AC0" w:rsidRDefault="00890AC0" w:rsidP="00890AC0">
                            <w:r w:rsidRPr="00890AC0">
                              <w:rPr>
                                <w:rFonts w:ascii="Arial Narrow" w:hAnsi="Arial Narrow"/>
                                <w:b/>
                              </w:rPr>
                              <w:t xml:space="preserve">Please submit comments electronically to: </w:t>
                            </w:r>
                            <w:hyperlink r:id="rId15" w:history="1">
                              <w:r w:rsidRPr="00890AC0">
                                <w:rPr>
                                  <w:rStyle w:val="Hyperlink"/>
                                  <w:rFonts w:ascii="Arial Narrow" w:hAnsi="Arial Narrow"/>
                                  <w:b/>
                                </w:rPr>
                                <w:t>tenantrecognition@energystar.gov</w:t>
                              </w:r>
                            </w:hyperlink>
                            <w:r>
                              <w:rPr>
                                <w:rFonts w:ascii="Arial Narrow" w:hAnsi="Arial Narrow"/>
                              </w:rPr>
                              <w: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E473915" id="_x0000_t202" coordsize="21600,21600" o:spt="202" path="m,l,21600r21600,l21600,xe">
                <v:stroke joinstyle="miter"/>
                <v:path gradientshapeok="t" o:connecttype="rect"/>
              </v:shapetype>
              <v:shape id="Text Box 2" o:spid="_x0000_s1026" type="#_x0000_t202" style="position:absolute;margin-left:281.25pt;margin-top:564.6pt;width:185.9pt;height:37.5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margin;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" fillcolor="#f2f2f2 [3052]" stroked="f">
                <v:textbox>
                  <w:txbxContent>
                    <w:p w14:paraId="05BA3C02" w14:textId="77777777" w:rsidR="00890AC0" w:rsidRDefault="00890AC0" w:rsidP="00890AC0">
                      <w:r w:rsidRPr="00890AC0">
                        <w:rPr>
                          <w:rFonts w:ascii="Arial Narrow" w:hAnsi="Arial Narrow"/>
                          <w:b/>
                        </w:rPr>
                        <w:t xml:space="preserve">Please submit comments electronically to: </w:t>
                      </w:r>
                      <w:hyperlink r:id="rId16" w:history="1">
                        <w:r w:rsidRPr="00890AC0">
                          <w:rPr>
                            <w:rStyle w:val="Hyperlink"/>
                            <w:rFonts w:ascii="Arial Narrow" w:hAnsi="Arial Narrow"/>
                            <w:b/>
                          </w:rPr>
                          <w:t>tenantrecognition@energystar.gov</w:t>
                        </w:r>
                      </w:hyperlink>
                      <w:r>
                        <w:rPr>
                          <w:rFonts w:ascii="Arial Narrow" w:hAnsi="Arial Narrow"/>
                        </w:rPr>
                        <w:t>.</w:t>
                      </w:r>
                    </w:p>
                  </w:txbxContent>
                </v:textbox>
                <w10:wrap type="square" anchorx="margin" anchory="margin"/>
              </v:shape>
            </w:pict>
          </mc:Fallback>
        </mc:AlternateContent>
      </w:r>
    </w:p>
    <w:sectPr w:rsidR="00890AC0" w:rsidRPr="00372C4B" w:rsidSect="005C3F7C">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710D7" w14:textId="77777777" w:rsidR="002C41AC" w:rsidRDefault="002C41AC" w:rsidP="00A86540">
      <w:pPr>
        <w:spacing w:after="0" w:line="240" w:lineRule="auto"/>
      </w:pPr>
      <w:r>
        <w:separator/>
      </w:r>
    </w:p>
  </w:endnote>
  <w:endnote w:type="continuationSeparator" w:id="0">
    <w:p w14:paraId="489482B2" w14:textId="77777777" w:rsidR="002C41AC" w:rsidRDefault="002C41AC"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Univers LT Std 57 Cn">
    <w:altName w:val="Arial Narrow"/>
    <w:panose1 w:val="00000000000000000000"/>
    <w:charset w:val="00"/>
    <w:family w:val="swiss"/>
    <w:notTrueType/>
    <w:pitch w:val="variable"/>
    <w:sig w:usb0="00000003"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6904615"/>
      <w:docPartObj>
        <w:docPartGallery w:val="Page Numbers (Bottom of Page)"/>
        <w:docPartUnique/>
      </w:docPartObj>
    </w:sdtPr>
    <w:sdtEndPr>
      <w:rPr>
        <w:noProof/>
      </w:rPr>
    </w:sdtEndPr>
    <w:sdtContent>
      <w:p w14:paraId="5400B399" w14:textId="4CF7EFCB" w:rsidR="00F1022D" w:rsidRDefault="00F1022D">
        <w:pPr>
          <w:pStyle w:val="Footer"/>
          <w:jc w:val="right"/>
        </w:pPr>
        <w:r>
          <w:fldChar w:fldCharType="begin"/>
        </w:r>
        <w:r>
          <w:instrText xml:space="preserve"> PAGE   \* MERGEFORMAT </w:instrText>
        </w:r>
        <w:r>
          <w:fldChar w:fldCharType="separate"/>
        </w:r>
        <w:r w:rsidR="00890AC0">
          <w:rPr>
            <w:noProof/>
          </w:rPr>
          <w:t>6</w:t>
        </w:r>
        <w:r>
          <w:rPr>
            <w:noProof/>
          </w:rPr>
          <w:fldChar w:fldCharType="end"/>
        </w:r>
      </w:p>
    </w:sdtContent>
  </w:sdt>
  <w:p w14:paraId="3F68AD37" w14:textId="58D9AABC" w:rsidR="00117F5E" w:rsidRDefault="00117F5E"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1D6BD" w14:textId="77777777" w:rsidR="002C41AC" w:rsidRDefault="002C41AC" w:rsidP="00A86540">
      <w:pPr>
        <w:spacing w:after="0" w:line="240" w:lineRule="auto"/>
      </w:pPr>
      <w:r>
        <w:separator/>
      </w:r>
    </w:p>
  </w:footnote>
  <w:footnote w:type="continuationSeparator" w:id="0">
    <w:p w14:paraId="038B2A87" w14:textId="77777777" w:rsidR="002C41AC" w:rsidRDefault="002C41AC" w:rsidP="00A86540">
      <w:pPr>
        <w:spacing w:after="0" w:line="240" w:lineRule="auto"/>
      </w:pPr>
      <w:r>
        <w:continuationSeparator/>
      </w:r>
    </w:p>
  </w:footnote>
  <w:footnote w:id="1">
    <w:p w14:paraId="365EDEBE" w14:textId="62F6CF36" w:rsidR="006A2B63" w:rsidRPr="003B2F0A" w:rsidRDefault="006A2B63" w:rsidP="006A2B63">
      <w:pPr>
        <w:pStyle w:val="FootnoteText"/>
        <w:rPr>
          <w:sz w:val="18"/>
          <w:szCs w:val="18"/>
        </w:rPr>
      </w:pPr>
      <w:r>
        <w:rPr>
          <w:rStyle w:val="FootnoteReference"/>
        </w:rPr>
        <w:footnoteRef/>
      </w:r>
      <w:r w:rsidR="005B6DCF" w:rsidRPr="003B2F0A">
        <w:rPr>
          <w:sz w:val="18"/>
          <w:szCs w:val="18"/>
        </w:rPr>
        <w:t xml:space="preserve">The </w:t>
      </w:r>
      <w:r w:rsidR="00546DE0" w:rsidRPr="003B2F0A">
        <w:rPr>
          <w:sz w:val="18"/>
          <w:szCs w:val="18"/>
        </w:rPr>
        <w:t>Energy Efficiency Improvement Act of 2015</w:t>
      </w:r>
      <w:r w:rsidR="005B6DCF" w:rsidRPr="003B2F0A">
        <w:rPr>
          <w:sz w:val="18"/>
          <w:szCs w:val="18"/>
        </w:rPr>
        <w:t xml:space="preserve"> </w:t>
      </w:r>
      <w:r w:rsidR="00546DE0" w:rsidRPr="003B2F0A">
        <w:rPr>
          <w:sz w:val="18"/>
          <w:szCs w:val="18"/>
        </w:rPr>
        <w:t>(</w:t>
      </w:r>
      <w:hyperlink r:id="rId1" w:history="1">
        <w:r w:rsidR="00546DE0" w:rsidRPr="003B2F0A">
          <w:rPr>
            <w:rStyle w:val="Hyperlink"/>
            <w:sz w:val="18"/>
            <w:szCs w:val="18"/>
          </w:rPr>
          <w:t>https://www.gpo.gov/fdsys/pkg/PLAW-114publ11/pdf/PLAW-114publ11.pdf</w:t>
        </w:r>
      </w:hyperlink>
      <w:r w:rsidR="00546DE0" w:rsidRPr="003B2F0A">
        <w:rPr>
          <w:sz w:val="18"/>
          <w:szCs w:val="18"/>
        </w:rPr>
        <w:t xml:space="preserve">) </w:t>
      </w:r>
      <w:r w:rsidR="005B6DCF" w:rsidRPr="003B2F0A">
        <w:rPr>
          <w:sz w:val="18"/>
          <w:szCs w:val="18"/>
        </w:rPr>
        <w:t xml:space="preserve">states that EPA “may develop a voluntary program to recognize commercial building owners and tenants that use high-performance energy efficiency measures in the design and construction of separate spaces.” </w:t>
      </w:r>
      <w:r w:rsidR="00546DE0" w:rsidRPr="003B2F0A">
        <w:rPr>
          <w:sz w:val="18"/>
          <w:szCs w:val="18"/>
        </w:rPr>
        <w:t>It</w:t>
      </w:r>
      <w:r w:rsidRPr="003B2F0A">
        <w:rPr>
          <w:sz w:val="18"/>
          <w:szCs w:val="18"/>
        </w:rPr>
        <w:t xml:space="preserve"> </w:t>
      </w:r>
      <w:r w:rsidR="005B6DCF" w:rsidRPr="003B2F0A">
        <w:rPr>
          <w:sz w:val="18"/>
          <w:szCs w:val="18"/>
        </w:rPr>
        <w:t xml:space="preserve">also </w:t>
      </w:r>
      <w:r w:rsidRPr="003B2F0A">
        <w:rPr>
          <w:sz w:val="18"/>
          <w:szCs w:val="18"/>
        </w:rPr>
        <w:t xml:space="preserve">directs EPA to </w:t>
      </w:r>
      <w:r w:rsidR="005B6DCF" w:rsidRPr="003B2F0A">
        <w:rPr>
          <w:sz w:val="18"/>
          <w:szCs w:val="18"/>
        </w:rPr>
        <w:t>develop occupancy-based r</w:t>
      </w:r>
      <w:r w:rsidRPr="003B2F0A">
        <w:rPr>
          <w:sz w:val="18"/>
          <w:szCs w:val="18"/>
        </w:rPr>
        <w:t>ecognition for efficient tenant spaces</w:t>
      </w:r>
      <w:r w:rsidR="005B6DCF" w:rsidRPr="003B2F0A">
        <w:rPr>
          <w:sz w:val="18"/>
          <w:szCs w:val="18"/>
        </w:rPr>
        <w:t>, which</w:t>
      </w:r>
      <w:r w:rsidRPr="003B2F0A">
        <w:rPr>
          <w:sz w:val="18"/>
          <w:szCs w:val="18"/>
        </w:rPr>
        <w:t xml:space="preserve"> requires data </w:t>
      </w:r>
      <w:r w:rsidR="005B6DCF" w:rsidRPr="003B2F0A">
        <w:rPr>
          <w:sz w:val="18"/>
          <w:szCs w:val="18"/>
        </w:rPr>
        <w:t xml:space="preserve">that </w:t>
      </w:r>
      <w:r w:rsidRPr="003B2F0A">
        <w:rPr>
          <w:sz w:val="18"/>
          <w:szCs w:val="18"/>
        </w:rPr>
        <w:t>is not yet available. The Energy Information Administration will be</w:t>
      </w:r>
      <w:r w:rsidR="00532DA4" w:rsidRPr="003B2F0A">
        <w:rPr>
          <w:sz w:val="18"/>
          <w:szCs w:val="18"/>
        </w:rPr>
        <w:t>gin</w:t>
      </w:r>
      <w:r w:rsidRPr="003B2F0A">
        <w:rPr>
          <w:sz w:val="18"/>
          <w:szCs w:val="18"/>
        </w:rPr>
        <w:t xml:space="preserve"> collecting tenant energy data as part of the next Commercial Building Energy Consumption Survey, with publication expected after 2020.</w:t>
      </w:r>
    </w:p>
  </w:footnote>
  <w:footnote w:id="2">
    <w:p w14:paraId="531B68FA" w14:textId="48379182" w:rsidR="00F5358B" w:rsidRPr="003B2F0A" w:rsidRDefault="00F5358B" w:rsidP="00F5358B">
      <w:pPr>
        <w:spacing w:after="0" w:line="240" w:lineRule="auto"/>
        <w:rPr>
          <w:sz w:val="18"/>
          <w:szCs w:val="18"/>
        </w:rPr>
      </w:pPr>
      <w:r>
        <w:rPr>
          <w:rStyle w:val="FootnoteReference"/>
        </w:rPr>
        <w:footnoteRef/>
      </w:r>
      <w:r>
        <w:t xml:space="preserve"> </w:t>
      </w:r>
      <w:r w:rsidRPr="003B2F0A">
        <w:rPr>
          <w:sz w:val="18"/>
          <w:szCs w:val="18"/>
        </w:rPr>
        <w:t xml:space="preserve">EPA is exploring recognition for efficient design and construction of office spaces </w:t>
      </w:r>
      <w:r w:rsidR="007749FE" w:rsidRPr="003B2F0A">
        <w:rPr>
          <w:sz w:val="18"/>
          <w:szCs w:val="18"/>
        </w:rPr>
        <w:t xml:space="preserve">only </w:t>
      </w:r>
      <w:r w:rsidRPr="003B2F0A">
        <w:rPr>
          <w:sz w:val="18"/>
          <w:szCs w:val="18"/>
        </w:rPr>
        <w:t>at this time, but envisions future expansion to other types of tenants in multi-tenanted buildings, such as retail stores in a shopping center and warehouse spaces.</w:t>
      </w:r>
    </w:p>
  </w:footnote>
  <w:footnote w:id="3">
    <w:p w14:paraId="2B36E8ED" w14:textId="6EAB5C6F" w:rsidR="00AC4D7D" w:rsidRDefault="00AC4D7D">
      <w:pPr>
        <w:pStyle w:val="FootnoteText"/>
      </w:pPr>
      <w:r>
        <w:rPr>
          <w:rStyle w:val="FootnoteReference"/>
        </w:rPr>
        <w:footnoteRef/>
      </w:r>
      <w:r>
        <w:t xml:space="preserve"> </w:t>
      </w:r>
      <w:hyperlink r:id="rId2" w:history="1">
        <w:r w:rsidRPr="003B2F0A">
          <w:rPr>
            <w:rStyle w:val="Hyperlink"/>
            <w:sz w:val="18"/>
            <w:szCs w:val="18"/>
          </w:rPr>
          <w:t>http://energy.gov/sites/prod/files/2016/04/f30/DOE%20-%20Energy%20Efficiency%20in%20Separate%20Tenant%20Spaces%20-%20Exec%20Summary_0.pdf</w:t>
        </w:r>
      </w:hyperlink>
      <w:r w:rsidRPr="003B2F0A">
        <w:rPr>
          <w:sz w:val="18"/>
          <w:szCs w:val="18"/>
        </w:rPr>
        <w:t xml:space="preserve"> </w:t>
      </w:r>
    </w:p>
  </w:footnote>
  <w:footnote w:id="4">
    <w:p w14:paraId="3888A56D" w14:textId="77777777" w:rsidR="00B6610A" w:rsidRPr="003B2F0A" w:rsidRDefault="00B6610A" w:rsidP="00B6610A">
      <w:pPr>
        <w:pStyle w:val="FootnoteText"/>
        <w:rPr>
          <w:sz w:val="18"/>
          <w:szCs w:val="18"/>
        </w:rPr>
      </w:pPr>
      <w:r>
        <w:rPr>
          <w:rStyle w:val="FootnoteReference"/>
        </w:rPr>
        <w:footnoteRef/>
      </w:r>
      <w:r>
        <w:t xml:space="preserve"> </w:t>
      </w:r>
      <w:r w:rsidRPr="003B2F0A">
        <w:rPr>
          <w:sz w:val="18"/>
          <w:szCs w:val="18"/>
        </w:rPr>
        <w:t>To allow EPA to explore a recognition metric for efficient tenant spaces in operation, the Energy Information Administration will begin collecting tenant energy data as part of the next Commercial Building Energy Consumption Survey, with publication expected after 2020.</w:t>
      </w:r>
    </w:p>
    <w:p w14:paraId="6D3F114C" w14:textId="77777777" w:rsidR="00B6610A" w:rsidRDefault="00B6610A" w:rsidP="00B6610A">
      <w:pPr>
        <w:pStyle w:val="FootnoteText"/>
      </w:pPr>
    </w:p>
  </w:footnote>
  <w:footnote w:id="5">
    <w:p w14:paraId="7FE281FC" w14:textId="6A379465" w:rsidR="008312F1" w:rsidRDefault="008312F1">
      <w:pPr>
        <w:pStyle w:val="FootnoteText"/>
      </w:pPr>
      <w:r>
        <w:rPr>
          <w:rStyle w:val="FootnoteReference"/>
        </w:rPr>
        <w:footnoteRef/>
      </w:r>
      <w:r>
        <w:t xml:space="preserve"> </w:t>
      </w:r>
      <w:r w:rsidRPr="003B2F0A">
        <w:rPr>
          <w:sz w:val="18"/>
          <w:szCs w:val="18"/>
        </w:rPr>
        <w:t>Tenants leasing a whole building should consider applying for the existing ENERGY STAR certification for top performing buildings.</w:t>
      </w:r>
    </w:p>
  </w:footnote>
  <w:footnote w:id="6">
    <w:p w14:paraId="613E353B" w14:textId="77777777" w:rsidR="00DC7137" w:rsidRDefault="00DC7137" w:rsidP="00DC7137">
      <w:pPr>
        <w:pStyle w:val="FootnoteText"/>
      </w:pPr>
      <w:r>
        <w:rPr>
          <w:rStyle w:val="FootnoteReference"/>
        </w:rPr>
        <w:footnoteRef/>
      </w:r>
      <w:r>
        <w:t xml:space="preserve"> </w:t>
      </w:r>
      <w:hyperlink r:id="rId3" w:history="1">
        <w:r w:rsidRPr="003B2F0A">
          <w:rPr>
            <w:rStyle w:val="Hyperlink"/>
            <w:sz w:val="18"/>
            <w:szCs w:val="18"/>
          </w:rPr>
          <w:t>http://aceee.org/files/proceedings/2012/data/papers/0193-000277.pdf</w:t>
        </w:r>
      </w:hyperlink>
      <w:r w:rsidRPr="003B2F0A">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12D2D" w14:textId="0815CF08" w:rsidR="00783D02" w:rsidRDefault="009F3F17" w:rsidP="00C37177">
    <w:pPr>
      <w:pStyle w:val="Header"/>
    </w:pPr>
    <w:r w:rsidRPr="00364FD4">
      <w:rPr>
        <w:rFonts w:ascii="Univers LT Std 57 Cn" w:hAnsi="Univers LT Std 57 Cn"/>
        <w:noProof/>
      </w:rPr>
      <mc:AlternateContent>
        <mc:Choice Requires="wps">
          <w:drawing>
            <wp:anchor distT="0" distB="0" distL="114300" distR="114300" simplePos="0" relativeHeight="251657216" behindDoc="0" locked="0" layoutInCell="1" allowOverlap="1" wp14:anchorId="5E8AE3AE" wp14:editId="21EF7E4B">
              <wp:simplePos x="0" y="0"/>
              <wp:positionH relativeFrom="margin">
                <wp:posOffset>-541020</wp:posOffset>
              </wp:positionH>
              <wp:positionV relativeFrom="paragraph">
                <wp:posOffset>-175260</wp:posOffset>
              </wp:positionV>
              <wp:extent cx="6210300" cy="97536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975360"/>
                      </a:xfrm>
                      <a:prstGeom prst="rect">
                        <a:avLst/>
                      </a:prstGeom>
                      <a:noFill/>
                      <a:ln w="9525">
                        <a:noFill/>
                        <a:miter lim="800000"/>
                        <a:headEnd/>
                        <a:tailEnd/>
                      </a:ln>
                    </wps:spPr>
                    <wps:txbx>
                      <w:txbxContent>
                        <w:p w14:paraId="26CF5BD1" w14:textId="1B0D74BA" w:rsidR="00117F5E" w:rsidRPr="00F5358B" w:rsidRDefault="00F5358B" w:rsidP="00364FD4">
                          <w:pPr>
                            <w:pStyle w:val="NoSpacing"/>
                            <w:rPr>
                              <w:rFonts w:asciiTheme="majorHAnsi" w:hAnsiTheme="majorHAnsi"/>
                              <w:b/>
                              <w:color w:val="FFFFFF" w:themeColor="background1"/>
                              <w:sz w:val="36"/>
                              <w:szCs w:val="44"/>
                            </w:rPr>
                          </w:pPr>
                          <w:r w:rsidRPr="00F5358B">
                            <w:rPr>
                              <w:rFonts w:asciiTheme="majorHAnsi" w:hAnsiTheme="majorHAnsi"/>
                              <w:b/>
                              <w:color w:val="FFFFFF" w:themeColor="background1"/>
                              <w:sz w:val="36"/>
                              <w:szCs w:val="44"/>
                            </w:rPr>
                            <w:t>Request for Public Comment</w:t>
                          </w:r>
                        </w:p>
                        <w:p w14:paraId="2EB97014" w14:textId="72B91738" w:rsidR="00F5358B" w:rsidRPr="00F5358B" w:rsidRDefault="00F5358B" w:rsidP="00364FD4">
                          <w:pPr>
                            <w:pStyle w:val="NoSpacing"/>
                            <w:rPr>
                              <w:rFonts w:asciiTheme="majorHAnsi" w:hAnsiTheme="majorHAnsi"/>
                              <w:b/>
                              <w:color w:val="FFFFFF" w:themeColor="background1"/>
                              <w:sz w:val="36"/>
                              <w:szCs w:val="44"/>
                            </w:rPr>
                          </w:pPr>
                          <w:r w:rsidRPr="00F5358B">
                            <w:rPr>
                              <w:rFonts w:asciiTheme="majorHAnsi" w:hAnsiTheme="majorHAnsi"/>
                              <w:b/>
                              <w:color w:val="FFFFFF" w:themeColor="background1"/>
                              <w:sz w:val="36"/>
                              <w:szCs w:val="44"/>
                            </w:rPr>
                            <w:t>EPA ENERGY STAR Recognition for Efficient Office Tenant Space</w:t>
                          </w:r>
                          <w:r w:rsidR="00D5342A">
                            <w:rPr>
                              <w:rFonts w:asciiTheme="majorHAnsi" w:hAnsiTheme="majorHAnsi"/>
                              <w:b/>
                              <w:color w:val="FFFFFF" w:themeColor="background1"/>
                              <w:sz w:val="36"/>
                              <w:szCs w:val="44"/>
                            </w:rPr>
                            <w:t>s</w:t>
                          </w:r>
                          <w:r w:rsidRPr="00F5358B">
                            <w:rPr>
                              <w:rFonts w:asciiTheme="majorHAnsi" w:hAnsiTheme="majorHAnsi"/>
                              <w:b/>
                              <w:color w:val="FFFFFF" w:themeColor="background1"/>
                              <w:sz w:val="36"/>
                              <w:szCs w:val="44"/>
                            </w:rPr>
                            <w:t xml:space="preserve"> – Design &amp; Construction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E8AE3AE" id="_x0000_t202" coordsize="21600,21600" o:spt="202" path="m,l,21600r21600,l21600,xe">
              <v:stroke joinstyle="miter"/>
              <v:path gradientshapeok="t" o:connecttype="rect"/>
            </v:shapetype>
            <v:shape id="Text Box 2" o:spid="_x0000_s1026" type="#_x0000_t202" style="position:absolute;margin-left:-42.6pt;margin-top:-13.8pt;width:489pt;height:76.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" filled="f" stroked="f">
              <v:textbox>
                <w:txbxContent>
                  <w:p w14:paraId="26CF5BD1" w14:textId="1B0D74BA" w:rsidR="00117F5E" w:rsidRPr="00F5358B" w:rsidRDefault="00F5358B" w:rsidP="00364FD4">
                    <w:pPr>
                      <w:pStyle w:val="NoSpacing"/>
                      <w:rPr>
                        <w:rFonts w:asciiTheme="majorHAnsi" w:hAnsiTheme="majorHAnsi"/>
                        <w:b/>
                        <w:color w:val="FFFFFF" w:themeColor="background1"/>
                        <w:sz w:val="36"/>
                        <w:szCs w:val="44"/>
                      </w:rPr>
                    </w:pPr>
                    <w:r w:rsidRPr="00F5358B">
                      <w:rPr>
                        <w:rFonts w:asciiTheme="majorHAnsi" w:hAnsiTheme="majorHAnsi"/>
                        <w:b/>
                        <w:color w:val="FFFFFF" w:themeColor="background1"/>
                        <w:sz w:val="36"/>
                        <w:szCs w:val="44"/>
                      </w:rPr>
                      <w:t>Request for Public Comment</w:t>
                    </w:r>
                  </w:p>
                  <w:p w14:paraId="2EB97014" w14:textId="72B91738" w:rsidR="00F5358B" w:rsidRPr="00F5358B" w:rsidRDefault="00F5358B" w:rsidP="00364FD4">
                    <w:pPr>
                      <w:pStyle w:val="NoSpacing"/>
                      <w:rPr>
                        <w:rFonts w:asciiTheme="majorHAnsi" w:hAnsiTheme="majorHAnsi"/>
                        <w:b/>
                        <w:color w:val="FFFFFF" w:themeColor="background1"/>
                        <w:sz w:val="36"/>
                        <w:szCs w:val="44"/>
                      </w:rPr>
                    </w:pPr>
                    <w:r w:rsidRPr="00F5358B">
                      <w:rPr>
                        <w:rFonts w:asciiTheme="majorHAnsi" w:hAnsiTheme="majorHAnsi"/>
                        <w:b/>
                        <w:color w:val="FFFFFF" w:themeColor="background1"/>
                        <w:sz w:val="36"/>
                        <w:szCs w:val="44"/>
                      </w:rPr>
                      <w:t>EPA ENERGY STAR Recognition for Efficient Office Tenant Space</w:t>
                    </w:r>
                    <w:r w:rsidR="00D5342A">
                      <w:rPr>
                        <w:rFonts w:asciiTheme="majorHAnsi" w:hAnsiTheme="majorHAnsi"/>
                        <w:b/>
                        <w:color w:val="FFFFFF" w:themeColor="background1"/>
                        <w:sz w:val="36"/>
                        <w:szCs w:val="44"/>
                      </w:rPr>
                      <w:t>s</w:t>
                    </w:r>
                    <w:r w:rsidRPr="00F5358B">
                      <w:rPr>
                        <w:rFonts w:asciiTheme="majorHAnsi" w:hAnsiTheme="majorHAnsi"/>
                        <w:b/>
                        <w:color w:val="FFFFFF" w:themeColor="background1"/>
                        <w:sz w:val="36"/>
                        <w:szCs w:val="44"/>
                      </w:rPr>
                      <w:t xml:space="preserve"> – Design &amp; Construction</w:t>
                    </w:r>
                  </w:p>
                </w:txbxContent>
              </v:textbox>
              <w10:wrap anchorx="margin"/>
            </v:shape>
          </w:pict>
        </mc:Fallback>
      </mc:AlternateContent>
    </w:r>
    <w:r w:rsidRPr="006A17DB">
      <w:rPr>
        <w:noProof/>
      </w:rPr>
      <w:drawing>
        <wp:anchor distT="0" distB="0" distL="114300" distR="114300" simplePos="0" relativeHeight="251658240" behindDoc="0" locked="0" layoutInCell="1" allowOverlap="1" wp14:anchorId="30CCCA49" wp14:editId="62D12175">
          <wp:simplePos x="0" y="0"/>
          <wp:positionH relativeFrom="column">
            <wp:posOffset>5798820</wp:posOffset>
          </wp:positionH>
          <wp:positionV relativeFrom="paragraph">
            <wp:posOffset>-100330</wp:posOffset>
          </wp:positionV>
          <wp:extent cx="760730" cy="778510"/>
          <wp:effectExtent l="76200" t="76200" r="77470" b="85090"/>
          <wp:wrapNone/>
          <wp:docPr id="297" name="Picture 297"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005C3F7C" w:rsidRPr="006A17DB">
      <w:rPr>
        <w:noProof/>
      </w:rPr>
      <mc:AlternateContent>
        <mc:Choice Requires="wps">
          <w:drawing>
            <wp:anchor distT="0" distB="0" distL="114300" distR="114300" simplePos="0" relativeHeight="251656192" behindDoc="0" locked="0" layoutInCell="1" allowOverlap="1" wp14:anchorId="7A41CEBC" wp14:editId="1C513433">
              <wp:simplePos x="0" y="0"/>
              <wp:positionH relativeFrom="margin">
                <wp:align>center</wp:align>
              </wp:positionH>
              <wp:positionV relativeFrom="paragraph">
                <wp:posOffset>-243840</wp:posOffset>
              </wp:positionV>
              <wp:extent cx="7237095" cy="1089660"/>
              <wp:effectExtent l="0" t="0" r="1905" b="0"/>
              <wp:wrapTight wrapText="bothSides">
                <wp:wrapPolygon edited="0">
                  <wp:start x="0" y="0"/>
                  <wp:lineTo x="0" y="21147"/>
                  <wp:lineTo x="21549" y="21147"/>
                  <wp:lineTo x="2154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089660"/>
                      </a:xfrm>
                      <a:prstGeom prst="rect">
                        <a:avLst/>
                      </a:prstGeom>
                      <a:solidFill>
                        <a:srgbClr val="0071BB"/>
                      </a:solidFill>
                      <a:ln w="9525">
                        <a:noFill/>
                        <a:miter lim="800000"/>
                        <a:headEnd/>
                        <a:tailEnd/>
                      </a:ln>
                    </wps:spPr>
                    <wps:txbx>
                      <w:txbxContent>
                        <w:p w14:paraId="79BB23B8" w14:textId="77777777" w:rsidR="00117F5E" w:rsidRDefault="00117F5E" w:rsidP="006A17DB">
                          <w:pPr>
                            <w:pStyle w:val="BalloonTex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A41CEBC" id="_x0000_s1027" type="#_x0000_t202" style="position:absolute;margin-left:0;margin-top:-19.2pt;width:569.85pt;height:85.8pt;z-index:25165619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" fillcolor="#0071bb" stroked="f">
              <v:textbox>
                <w:txbxContent>
                  <w:p w14:paraId="79BB23B8" w14:textId="77777777" w:rsidR="00117F5E" w:rsidRDefault="00117F5E" w:rsidP="006A17DB">
                    <w:pPr>
                      <w:pStyle w:val="BalloonText"/>
                    </w:pPr>
                  </w:p>
                </w:txbxContent>
              </v:textbox>
              <w10:wrap type="tight"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F2B"/>
    <w:multiLevelType w:val="hybridMultilevel"/>
    <w:tmpl w:val="1952D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B1918"/>
    <w:multiLevelType w:val="hybridMultilevel"/>
    <w:tmpl w:val="BAFCD226"/>
    <w:lvl w:ilvl="0" w:tplc="9B22FC7E">
      <w:start w:val="1"/>
      <w:numFmt w:val="decimal"/>
      <w:lvlText w:val="%1)"/>
      <w:lvlJc w:val="left"/>
      <w:pPr>
        <w:ind w:left="720" w:hanging="360"/>
      </w:pPr>
      <w:rPr>
        <w:rFonts w:ascii="Arial Narrow" w:eastAsiaTheme="minorHAnsi" w:hAnsi="Arial Narrow" w:cs="Calibri"/>
        <w:b w:val="0"/>
        <w:color w:val="0070C0"/>
        <w:sz w:val="22"/>
        <w:szCs w:val="36"/>
        <w:u w:color="309E39"/>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062AB"/>
    <w:multiLevelType w:val="hybridMultilevel"/>
    <w:tmpl w:val="8376B130"/>
    <w:lvl w:ilvl="0" w:tplc="2F6C9AE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E5D4A"/>
    <w:multiLevelType w:val="hybridMultilevel"/>
    <w:tmpl w:val="96EEC8E8"/>
    <w:lvl w:ilvl="0" w:tplc="E9FCEBA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A7C2D"/>
    <w:multiLevelType w:val="hybridMultilevel"/>
    <w:tmpl w:val="166204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C5AE0"/>
    <w:multiLevelType w:val="hybridMultilevel"/>
    <w:tmpl w:val="BAFCD226"/>
    <w:lvl w:ilvl="0" w:tplc="9B22FC7E">
      <w:start w:val="1"/>
      <w:numFmt w:val="decimal"/>
      <w:lvlText w:val="%1)"/>
      <w:lvlJc w:val="left"/>
      <w:pPr>
        <w:ind w:left="720" w:hanging="360"/>
      </w:pPr>
      <w:rPr>
        <w:rFonts w:ascii="Arial Narrow" w:eastAsiaTheme="minorHAnsi" w:hAnsi="Arial Narrow" w:cs="Calibri"/>
        <w:b w:val="0"/>
        <w:color w:val="0070C0"/>
        <w:sz w:val="22"/>
        <w:szCs w:val="36"/>
        <w:u w:color="309E39"/>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623D8"/>
    <w:multiLevelType w:val="hybridMultilevel"/>
    <w:tmpl w:val="7A2C7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063B0"/>
    <w:multiLevelType w:val="hybridMultilevel"/>
    <w:tmpl w:val="2F88C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2A089A"/>
    <w:multiLevelType w:val="hybridMultilevel"/>
    <w:tmpl w:val="647EB488"/>
    <w:lvl w:ilvl="0" w:tplc="3B824FD0">
      <w:start w:val="1"/>
      <w:numFmt w:val="decimal"/>
      <w:lvlText w:val="%1)"/>
      <w:lvlJc w:val="left"/>
      <w:pPr>
        <w:ind w:left="720" w:hanging="360"/>
      </w:pPr>
      <w:rPr>
        <w:rFonts w:ascii="Arial Narrow" w:eastAsiaTheme="minorHAnsi" w:hAnsi="Arial Narrow" w:cs="Calibri" w:hint="default"/>
        <w:b w:val="0"/>
        <w:color w:val="0070C0"/>
        <w:sz w:val="22"/>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D2AE7"/>
    <w:multiLevelType w:val="hybridMultilevel"/>
    <w:tmpl w:val="5D6EA8A6"/>
    <w:lvl w:ilvl="0" w:tplc="638EDE22">
      <w:start w:val="1"/>
      <w:numFmt w:val="decimal"/>
      <w:lvlText w:val="%1)"/>
      <w:lvlJc w:val="left"/>
      <w:pPr>
        <w:ind w:left="720" w:hanging="360"/>
      </w:pPr>
      <w:rPr>
        <w:rFonts w:ascii="Arial Narrow" w:eastAsiaTheme="minorHAnsi" w:hAnsi="Arial Narrow" w:cs="Calibri"/>
        <w:color w:val="0070C0"/>
        <w:sz w:val="22"/>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91DCA"/>
    <w:multiLevelType w:val="hybridMultilevel"/>
    <w:tmpl w:val="8A9AC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14513C"/>
    <w:multiLevelType w:val="hybridMultilevel"/>
    <w:tmpl w:val="BAFCD226"/>
    <w:lvl w:ilvl="0" w:tplc="9B22FC7E">
      <w:start w:val="1"/>
      <w:numFmt w:val="decimal"/>
      <w:lvlText w:val="%1)"/>
      <w:lvlJc w:val="left"/>
      <w:pPr>
        <w:ind w:left="720" w:hanging="360"/>
      </w:pPr>
      <w:rPr>
        <w:rFonts w:ascii="Arial Narrow" w:eastAsiaTheme="minorHAnsi" w:hAnsi="Arial Narrow" w:cs="Calibri"/>
        <w:b w:val="0"/>
        <w:color w:val="0070C0"/>
        <w:sz w:val="22"/>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527DD"/>
    <w:multiLevelType w:val="hybridMultilevel"/>
    <w:tmpl w:val="FCCA7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B776C"/>
    <w:multiLevelType w:val="multilevel"/>
    <w:tmpl w:val="73ECA0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1170"/>
        </w:tabs>
        <w:ind w:left="117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286DFE"/>
    <w:multiLevelType w:val="hybridMultilevel"/>
    <w:tmpl w:val="F774CA1E"/>
    <w:lvl w:ilvl="0" w:tplc="B21A0942">
      <w:start w:val="1"/>
      <w:numFmt w:val="decimal"/>
      <w:lvlText w:val="%1)"/>
      <w:lvlJc w:val="left"/>
      <w:pPr>
        <w:ind w:left="720" w:hanging="360"/>
      </w:pPr>
      <w:rPr>
        <w:rFonts w:ascii="Arial Narrow" w:eastAsiaTheme="minorHAnsi" w:hAnsi="Arial Narrow" w:cs="Calibri" w:hint="default"/>
        <w:b w:val="0"/>
        <w:color w:val="0070C0"/>
        <w:sz w:val="22"/>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7659DD"/>
    <w:multiLevelType w:val="hybridMultilevel"/>
    <w:tmpl w:val="BAFCD226"/>
    <w:lvl w:ilvl="0" w:tplc="9B22FC7E">
      <w:start w:val="1"/>
      <w:numFmt w:val="decimal"/>
      <w:lvlText w:val="%1)"/>
      <w:lvlJc w:val="left"/>
      <w:pPr>
        <w:ind w:left="720" w:hanging="360"/>
      </w:pPr>
      <w:rPr>
        <w:rFonts w:ascii="Arial Narrow" w:eastAsiaTheme="minorHAnsi" w:hAnsi="Arial Narrow" w:cs="Calibri"/>
        <w:b w:val="0"/>
        <w:color w:val="0070C0"/>
        <w:sz w:val="22"/>
        <w:szCs w:val="36"/>
        <w:u w:color="309E39"/>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C076C"/>
    <w:multiLevelType w:val="hybridMultilevel"/>
    <w:tmpl w:val="BAFCD226"/>
    <w:lvl w:ilvl="0" w:tplc="9B22FC7E">
      <w:start w:val="1"/>
      <w:numFmt w:val="decimal"/>
      <w:lvlText w:val="%1)"/>
      <w:lvlJc w:val="left"/>
      <w:pPr>
        <w:ind w:left="720" w:hanging="360"/>
      </w:pPr>
      <w:rPr>
        <w:rFonts w:ascii="Arial Narrow" w:eastAsiaTheme="minorHAnsi" w:hAnsi="Arial Narrow" w:cs="Calibri"/>
        <w:b w:val="0"/>
        <w:color w:val="0070C0"/>
        <w:sz w:val="22"/>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CF4D2A"/>
    <w:multiLevelType w:val="hybridMultilevel"/>
    <w:tmpl w:val="24A4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51047"/>
    <w:multiLevelType w:val="hybridMultilevel"/>
    <w:tmpl w:val="BAFCD226"/>
    <w:lvl w:ilvl="0" w:tplc="9B22FC7E">
      <w:start w:val="1"/>
      <w:numFmt w:val="decimal"/>
      <w:lvlText w:val="%1)"/>
      <w:lvlJc w:val="left"/>
      <w:pPr>
        <w:ind w:left="720" w:hanging="360"/>
      </w:pPr>
      <w:rPr>
        <w:rFonts w:ascii="Arial Narrow" w:eastAsiaTheme="minorHAnsi" w:hAnsi="Arial Narrow" w:cs="Calibri"/>
        <w:b w:val="0"/>
        <w:color w:val="0070C0"/>
        <w:sz w:val="22"/>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3" w15:restartNumberingAfterBreak="0">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97B65DD"/>
    <w:multiLevelType w:val="hybridMultilevel"/>
    <w:tmpl w:val="FA704852"/>
    <w:lvl w:ilvl="0" w:tplc="76BA509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061E3"/>
    <w:multiLevelType w:val="hybridMultilevel"/>
    <w:tmpl w:val="9A3A1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53677"/>
    <w:multiLevelType w:val="hybridMultilevel"/>
    <w:tmpl w:val="46FE12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74CC19F0"/>
    <w:multiLevelType w:val="hybridMultilevel"/>
    <w:tmpl w:val="3072DD9E"/>
    <w:lvl w:ilvl="0" w:tplc="729C2C34">
      <w:start w:val="1"/>
      <w:numFmt w:val="decimal"/>
      <w:lvlText w:val="%1."/>
      <w:lvlJc w:val="left"/>
      <w:pPr>
        <w:ind w:left="360" w:hanging="360"/>
      </w:pPr>
      <w:rPr>
        <w:rFonts w:hint="default"/>
        <w:b/>
        <w:color w:val="FFFFFF" w:themeColor="background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510CCB"/>
    <w:multiLevelType w:val="hybridMultilevel"/>
    <w:tmpl w:val="17F0A856"/>
    <w:lvl w:ilvl="0" w:tplc="09A44DF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A4561B"/>
    <w:multiLevelType w:val="hybridMultilevel"/>
    <w:tmpl w:val="B6906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526C1"/>
    <w:multiLevelType w:val="hybridMultilevel"/>
    <w:tmpl w:val="0C9889B8"/>
    <w:lvl w:ilvl="0" w:tplc="B21A0942">
      <w:start w:val="1"/>
      <w:numFmt w:val="decimal"/>
      <w:lvlText w:val="%1)"/>
      <w:lvlJc w:val="left"/>
      <w:pPr>
        <w:ind w:left="805" w:hanging="360"/>
      </w:pPr>
      <w:rPr>
        <w:rFonts w:ascii="Arial Narrow" w:eastAsiaTheme="minorHAnsi" w:hAnsi="Arial Narrow" w:cs="Calibri" w:hint="default"/>
        <w:b w:val="0"/>
        <w:color w:val="0070C0"/>
        <w:sz w:val="22"/>
        <w:szCs w:val="36"/>
        <w:u w:color="309E39"/>
      </w:rPr>
    </w:lvl>
    <w:lvl w:ilvl="1" w:tplc="04090019" w:tentative="1">
      <w:start w:val="1"/>
      <w:numFmt w:val="lowerLetter"/>
      <w:lvlText w:val="%2."/>
      <w:lvlJc w:val="left"/>
      <w:pPr>
        <w:ind w:left="1525" w:hanging="360"/>
      </w:pPr>
    </w:lvl>
    <w:lvl w:ilvl="2" w:tplc="0409001B" w:tentative="1">
      <w:start w:val="1"/>
      <w:numFmt w:val="lowerRoman"/>
      <w:lvlText w:val="%3."/>
      <w:lvlJc w:val="right"/>
      <w:pPr>
        <w:ind w:left="2245" w:hanging="180"/>
      </w:pPr>
    </w:lvl>
    <w:lvl w:ilvl="3" w:tplc="0409000F" w:tentative="1">
      <w:start w:val="1"/>
      <w:numFmt w:val="decimal"/>
      <w:lvlText w:val="%4."/>
      <w:lvlJc w:val="left"/>
      <w:pPr>
        <w:ind w:left="2965" w:hanging="360"/>
      </w:pPr>
    </w:lvl>
    <w:lvl w:ilvl="4" w:tplc="04090019" w:tentative="1">
      <w:start w:val="1"/>
      <w:numFmt w:val="lowerLetter"/>
      <w:lvlText w:val="%5."/>
      <w:lvlJc w:val="left"/>
      <w:pPr>
        <w:ind w:left="3685" w:hanging="360"/>
      </w:pPr>
    </w:lvl>
    <w:lvl w:ilvl="5" w:tplc="0409001B" w:tentative="1">
      <w:start w:val="1"/>
      <w:numFmt w:val="lowerRoman"/>
      <w:lvlText w:val="%6."/>
      <w:lvlJc w:val="right"/>
      <w:pPr>
        <w:ind w:left="4405" w:hanging="180"/>
      </w:pPr>
    </w:lvl>
    <w:lvl w:ilvl="6" w:tplc="0409000F" w:tentative="1">
      <w:start w:val="1"/>
      <w:numFmt w:val="decimal"/>
      <w:lvlText w:val="%7."/>
      <w:lvlJc w:val="left"/>
      <w:pPr>
        <w:ind w:left="5125" w:hanging="360"/>
      </w:pPr>
    </w:lvl>
    <w:lvl w:ilvl="7" w:tplc="04090019" w:tentative="1">
      <w:start w:val="1"/>
      <w:numFmt w:val="lowerLetter"/>
      <w:lvlText w:val="%8."/>
      <w:lvlJc w:val="left"/>
      <w:pPr>
        <w:ind w:left="5845" w:hanging="360"/>
      </w:pPr>
    </w:lvl>
    <w:lvl w:ilvl="8" w:tplc="0409001B" w:tentative="1">
      <w:start w:val="1"/>
      <w:numFmt w:val="lowerRoman"/>
      <w:lvlText w:val="%9."/>
      <w:lvlJc w:val="right"/>
      <w:pPr>
        <w:ind w:left="6565" w:hanging="180"/>
      </w:pPr>
    </w:lvl>
  </w:abstractNum>
  <w:num w:numId="1">
    <w:abstractNumId w:val="12"/>
  </w:num>
  <w:num w:numId="2">
    <w:abstractNumId w:val="10"/>
  </w:num>
  <w:num w:numId="3">
    <w:abstractNumId w:val="22"/>
  </w:num>
  <w:num w:numId="4">
    <w:abstractNumId w:val="6"/>
  </w:num>
  <w:num w:numId="5">
    <w:abstractNumId w:val="26"/>
  </w:num>
  <w:num w:numId="6">
    <w:abstractNumId w:val="23"/>
  </w:num>
  <w:num w:numId="7">
    <w:abstractNumId w:val="11"/>
  </w:num>
  <w:num w:numId="8">
    <w:abstractNumId w:val="0"/>
  </w:num>
  <w:num w:numId="9">
    <w:abstractNumId w:val="1"/>
  </w:num>
  <w:num w:numId="10">
    <w:abstractNumId w:val="7"/>
  </w:num>
  <w:num w:numId="11">
    <w:abstractNumId w:val="25"/>
  </w:num>
  <w:num w:numId="12">
    <w:abstractNumId w:val="21"/>
  </w:num>
  <w:num w:numId="13">
    <w:abstractNumId w:val="24"/>
  </w:num>
  <w:num w:numId="14">
    <w:abstractNumId w:val="18"/>
  </w:num>
  <w:num w:numId="15">
    <w:abstractNumId w:val="19"/>
  </w:num>
  <w:num w:numId="16">
    <w:abstractNumId w:val="5"/>
  </w:num>
  <w:num w:numId="17">
    <w:abstractNumId w:val="14"/>
  </w:num>
  <w:num w:numId="18">
    <w:abstractNumId w:val="16"/>
    <w:lvlOverride w:ilvl="0"/>
    <w:lvlOverride w:ilvl="1">
      <w:startOverride w:val="1"/>
    </w:lvlOverride>
    <w:lvlOverride w:ilvl="2">
      <w:startOverride w:val="1"/>
    </w:lvlOverride>
    <w:lvlOverride w:ilvl="3"/>
    <w:lvlOverride w:ilvl="4"/>
    <w:lvlOverride w:ilvl="5"/>
    <w:lvlOverride w:ilvl="6"/>
    <w:lvlOverride w:ilvl="7"/>
    <w:lvlOverride w:ilvl="8"/>
  </w:num>
  <w:num w:numId="19">
    <w:abstractNumId w:val="16"/>
    <w:lvlOverride w:ilvl="0"/>
    <w:lvlOverride w:ilvl="1">
      <w:startOverride w:val="1"/>
    </w:lvlOverride>
    <w:lvlOverride w:ilvl="2">
      <w:startOverride w:val="1"/>
    </w:lvlOverride>
    <w:lvlOverride w:ilvl="3"/>
    <w:lvlOverride w:ilvl="4"/>
    <w:lvlOverride w:ilvl="5"/>
    <w:lvlOverride w:ilvl="6"/>
    <w:lvlOverride w:ilvl="7"/>
    <w:lvlOverride w:ilvl="8"/>
  </w:num>
  <w:num w:numId="20">
    <w:abstractNumId w:val="16"/>
    <w:lvlOverride w:ilvl="0"/>
    <w:lvlOverride w:ilvl="1">
      <w:startOverride w:val="1"/>
    </w:lvlOverride>
    <w:lvlOverride w:ilvl="2">
      <w:startOverride w:val="1"/>
    </w:lvlOverride>
    <w:lvlOverride w:ilvl="3"/>
    <w:lvlOverride w:ilvl="4"/>
    <w:lvlOverride w:ilvl="5"/>
    <w:lvlOverride w:ilvl="6"/>
    <w:lvlOverride w:ilvl="7"/>
    <w:lvlOverride w:ilvl="8"/>
  </w:num>
  <w:num w:numId="21">
    <w:abstractNumId w:val="30"/>
  </w:num>
  <w:num w:numId="22">
    <w:abstractNumId w:val="29"/>
  </w:num>
  <w:num w:numId="23">
    <w:abstractNumId w:val="4"/>
  </w:num>
  <w:num w:numId="24">
    <w:abstractNumId w:val="8"/>
  </w:num>
  <w:num w:numId="25">
    <w:abstractNumId w:val="17"/>
  </w:num>
  <w:num w:numId="26">
    <w:abstractNumId w:val="9"/>
  </w:num>
  <w:num w:numId="27">
    <w:abstractNumId w:val="31"/>
  </w:num>
  <w:num w:numId="28">
    <w:abstractNumId w:val="13"/>
  </w:num>
  <w:num w:numId="29">
    <w:abstractNumId w:val="2"/>
  </w:num>
  <w:num w:numId="30">
    <w:abstractNumId w:val="3"/>
  </w:num>
  <w:num w:numId="31">
    <w:abstractNumId w:val="28"/>
  </w:num>
  <w:num w:numId="32">
    <w:abstractNumId w:val="27"/>
  </w:num>
  <w:num w:numId="33">
    <w:abstractNumId w:val="20"/>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03100"/>
    <w:rsid w:val="00010B45"/>
    <w:rsid w:val="00022465"/>
    <w:rsid w:val="000230C5"/>
    <w:rsid w:val="00031EF6"/>
    <w:rsid w:val="00037DD1"/>
    <w:rsid w:val="00045A02"/>
    <w:rsid w:val="00051567"/>
    <w:rsid w:val="00052C21"/>
    <w:rsid w:val="00053FE4"/>
    <w:rsid w:val="00060D29"/>
    <w:rsid w:val="00070161"/>
    <w:rsid w:val="000800BC"/>
    <w:rsid w:val="00094113"/>
    <w:rsid w:val="000A05A6"/>
    <w:rsid w:val="000A55C5"/>
    <w:rsid w:val="000B41BE"/>
    <w:rsid w:val="000B5731"/>
    <w:rsid w:val="000C09C0"/>
    <w:rsid w:val="000C5AEC"/>
    <w:rsid w:val="000C5C89"/>
    <w:rsid w:val="000D1A8D"/>
    <w:rsid w:val="000D252F"/>
    <w:rsid w:val="000D6081"/>
    <w:rsid w:val="000E0E8B"/>
    <w:rsid w:val="000F5FEA"/>
    <w:rsid w:val="00101BEA"/>
    <w:rsid w:val="00113EAA"/>
    <w:rsid w:val="00117F5E"/>
    <w:rsid w:val="00130359"/>
    <w:rsid w:val="0013616E"/>
    <w:rsid w:val="00152A03"/>
    <w:rsid w:val="00175278"/>
    <w:rsid w:val="0019256E"/>
    <w:rsid w:val="00193AEE"/>
    <w:rsid w:val="00195C3B"/>
    <w:rsid w:val="001A79E0"/>
    <w:rsid w:val="001B4EE6"/>
    <w:rsid w:val="001B506B"/>
    <w:rsid w:val="001C2FB7"/>
    <w:rsid w:val="001C5D9A"/>
    <w:rsid w:val="001C6246"/>
    <w:rsid w:val="001E1448"/>
    <w:rsid w:val="00205D00"/>
    <w:rsid w:val="00211E4A"/>
    <w:rsid w:val="002155C8"/>
    <w:rsid w:val="0023220D"/>
    <w:rsid w:val="00232982"/>
    <w:rsid w:val="0023545F"/>
    <w:rsid w:val="0023762D"/>
    <w:rsid w:val="002475C0"/>
    <w:rsid w:val="002547EF"/>
    <w:rsid w:val="00264525"/>
    <w:rsid w:val="00274460"/>
    <w:rsid w:val="00274BA2"/>
    <w:rsid w:val="00276B41"/>
    <w:rsid w:val="00282770"/>
    <w:rsid w:val="00283BD2"/>
    <w:rsid w:val="002A6745"/>
    <w:rsid w:val="002C16EA"/>
    <w:rsid w:val="002C41AC"/>
    <w:rsid w:val="002C7A76"/>
    <w:rsid w:val="002D3BAA"/>
    <w:rsid w:val="002D66AA"/>
    <w:rsid w:val="002E24A2"/>
    <w:rsid w:val="002E330A"/>
    <w:rsid w:val="002F4BED"/>
    <w:rsid w:val="0031270F"/>
    <w:rsid w:val="00316711"/>
    <w:rsid w:val="003168A6"/>
    <w:rsid w:val="0032446D"/>
    <w:rsid w:val="0032656C"/>
    <w:rsid w:val="003279FD"/>
    <w:rsid w:val="003419FC"/>
    <w:rsid w:val="00342EA9"/>
    <w:rsid w:val="00345B86"/>
    <w:rsid w:val="00345DB7"/>
    <w:rsid w:val="00353101"/>
    <w:rsid w:val="00353507"/>
    <w:rsid w:val="00364FD4"/>
    <w:rsid w:val="003672FB"/>
    <w:rsid w:val="00372C4B"/>
    <w:rsid w:val="003804BF"/>
    <w:rsid w:val="00394969"/>
    <w:rsid w:val="003A2B48"/>
    <w:rsid w:val="003A474C"/>
    <w:rsid w:val="003B2F0A"/>
    <w:rsid w:val="003B43E5"/>
    <w:rsid w:val="003B72BD"/>
    <w:rsid w:val="003C634B"/>
    <w:rsid w:val="003E0769"/>
    <w:rsid w:val="003E18F1"/>
    <w:rsid w:val="003E5784"/>
    <w:rsid w:val="0040082A"/>
    <w:rsid w:val="00410317"/>
    <w:rsid w:val="004105E5"/>
    <w:rsid w:val="00416785"/>
    <w:rsid w:val="00421D73"/>
    <w:rsid w:val="0043439D"/>
    <w:rsid w:val="004605B2"/>
    <w:rsid w:val="00490466"/>
    <w:rsid w:val="004909EC"/>
    <w:rsid w:val="00494550"/>
    <w:rsid w:val="004A1469"/>
    <w:rsid w:val="004A4A35"/>
    <w:rsid w:val="004B0FE4"/>
    <w:rsid w:val="004B661D"/>
    <w:rsid w:val="004C4CBA"/>
    <w:rsid w:val="004D51AB"/>
    <w:rsid w:val="004F3CEC"/>
    <w:rsid w:val="00504A43"/>
    <w:rsid w:val="0050757D"/>
    <w:rsid w:val="0051628C"/>
    <w:rsid w:val="0052480A"/>
    <w:rsid w:val="00526577"/>
    <w:rsid w:val="00527852"/>
    <w:rsid w:val="00532DA4"/>
    <w:rsid w:val="00546DE0"/>
    <w:rsid w:val="00554ED5"/>
    <w:rsid w:val="00560907"/>
    <w:rsid w:val="00563DF5"/>
    <w:rsid w:val="005648FD"/>
    <w:rsid w:val="00570897"/>
    <w:rsid w:val="00570D3C"/>
    <w:rsid w:val="00574498"/>
    <w:rsid w:val="00574FF8"/>
    <w:rsid w:val="00575F61"/>
    <w:rsid w:val="00577085"/>
    <w:rsid w:val="00577550"/>
    <w:rsid w:val="00582FF1"/>
    <w:rsid w:val="00587E11"/>
    <w:rsid w:val="00592096"/>
    <w:rsid w:val="005926E8"/>
    <w:rsid w:val="00594849"/>
    <w:rsid w:val="0059770E"/>
    <w:rsid w:val="005B6729"/>
    <w:rsid w:val="005B6DCF"/>
    <w:rsid w:val="005C0EF1"/>
    <w:rsid w:val="005C3F7C"/>
    <w:rsid w:val="005D5985"/>
    <w:rsid w:val="005D72C6"/>
    <w:rsid w:val="005E3638"/>
    <w:rsid w:val="005F303F"/>
    <w:rsid w:val="005F7F97"/>
    <w:rsid w:val="00647F90"/>
    <w:rsid w:val="0066798A"/>
    <w:rsid w:val="006777A9"/>
    <w:rsid w:val="00686B1F"/>
    <w:rsid w:val="00693F61"/>
    <w:rsid w:val="006A17DB"/>
    <w:rsid w:val="006A2B63"/>
    <w:rsid w:val="006B2921"/>
    <w:rsid w:val="006B6D91"/>
    <w:rsid w:val="006C024D"/>
    <w:rsid w:val="006C3EC1"/>
    <w:rsid w:val="006C7585"/>
    <w:rsid w:val="006D3534"/>
    <w:rsid w:val="006D5AB2"/>
    <w:rsid w:val="006E1B35"/>
    <w:rsid w:val="006F541B"/>
    <w:rsid w:val="00700513"/>
    <w:rsid w:val="00700964"/>
    <w:rsid w:val="00702422"/>
    <w:rsid w:val="00710375"/>
    <w:rsid w:val="00710ACD"/>
    <w:rsid w:val="0071105D"/>
    <w:rsid w:val="00714C52"/>
    <w:rsid w:val="00716F2F"/>
    <w:rsid w:val="00723301"/>
    <w:rsid w:val="00724C2D"/>
    <w:rsid w:val="00743589"/>
    <w:rsid w:val="00746D14"/>
    <w:rsid w:val="0076464B"/>
    <w:rsid w:val="007749FE"/>
    <w:rsid w:val="00780ACD"/>
    <w:rsid w:val="00783D02"/>
    <w:rsid w:val="00786174"/>
    <w:rsid w:val="007A168B"/>
    <w:rsid w:val="007A41C7"/>
    <w:rsid w:val="007C594B"/>
    <w:rsid w:val="007C761C"/>
    <w:rsid w:val="007E043E"/>
    <w:rsid w:val="007F56EE"/>
    <w:rsid w:val="00815E4B"/>
    <w:rsid w:val="00820419"/>
    <w:rsid w:val="00822406"/>
    <w:rsid w:val="00823010"/>
    <w:rsid w:val="00824417"/>
    <w:rsid w:val="00824802"/>
    <w:rsid w:val="00824FCD"/>
    <w:rsid w:val="008276A9"/>
    <w:rsid w:val="008312F1"/>
    <w:rsid w:val="0086431C"/>
    <w:rsid w:val="00867125"/>
    <w:rsid w:val="0088238E"/>
    <w:rsid w:val="00883D6A"/>
    <w:rsid w:val="008850BC"/>
    <w:rsid w:val="00885898"/>
    <w:rsid w:val="008859AD"/>
    <w:rsid w:val="00890AC0"/>
    <w:rsid w:val="00891AA9"/>
    <w:rsid w:val="008A2378"/>
    <w:rsid w:val="008A2441"/>
    <w:rsid w:val="008E0E70"/>
    <w:rsid w:val="008E689A"/>
    <w:rsid w:val="008F0F32"/>
    <w:rsid w:val="00901023"/>
    <w:rsid w:val="00901408"/>
    <w:rsid w:val="00904073"/>
    <w:rsid w:val="00912837"/>
    <w:rsid w:val="00912A55"/>
    <w:rsid w:val="0091598F"/>
    <w:rsid w:val="009160C7"/>
    <w:rsid w:val="0093768E"/>
    <w:rsid w:val="009A4D0A"/>
    <w:rsid w:val="009B73CA"/>
    <w:rsid w:val="009D3579"/>
    <w:rsid w:val="009E1B74"/>
    <w:rsid w:val="009E633D"/>
    <w:rsid w:val="009F3F17"/>
    <w:rsid w:val="00A06B9B"/>
    <w:rsid w:val="00A1476C"/>
    <w:rsid w:val="00A154C0"/>
    <w:rsid w:val="00A24F47"/>
    <w:rsid w:val="00A26E55"/>
    <w:rsid w:val="00A27BAE"/>
    <w:rsid w:val="00A34376"/>
    <w:rsid w:val="00A63998"/>
    <w:rsid w:val="00A677C6"/>
    <w:rsid w:val="00A710CB"/>
    <w:rsid w:val="00A8328B"/>
    <w:rsid w:val="00A86540"/>
    <w:rsid w:val="00A8686B"/>
    <w:rsid w:val="00AC4D7D"/>
    <w:rsid w:val="00AF4C3C"/>
    <w:rsid w:val="00B14CDC"/>
    <w:rsid w:val="00B22AFD"/>
    <w:rsid w:val="00B34869"/>
    <w:rsid w:val="00B43DB4"/>
    <w:rsid w:val="00B50D1C"/>
    <w:rsid w:val="00B511D8"/>
    <w:rsid w:val="00B51AA0"/>
    <w:rsid w:val="00B52C2E"/>
    <w:rsid w:val="00B6610A"/>
    <w:rsid w:val="00B72344"/>
    <w:rsid w:val="00B75640"/>
    <w:rsid w:val="00B81BB6"/>
    <w:rsid w:val="00B8621A"/>
    <w:rsid w:val="00B97888"/>
    <w:rsid w:val="00BA40C4"/>
    <w:rsid w:val="00BA47CF"/>
    <w:rsid w:val="00BA7507"/>
    <w:rsid w:val="00BB175C"/>
    <w:rsid w:val="00BC2F23"/>
    <w:rsid w:val="00BD7F51"/>
    <w:rsid w:val="00BE757C"/>
    <w:rsid w:val="00BF36D6"/>
    <w:rsid w:val="00C003C3"/>
    <w:rsid w:val="00C07EE3"/>
    <w:rsid w:val="00C128D8"/>
    <w:rsid w:val="00C147A4"/>
    <w:rsid w:val="00C166A3"/>
    <w:rsid w:val="00C25CDD"/>
    <w:rsid w:val="00C30301"/>
    <w:rsid w:val="00C33881"/>
    <w:rsid w:val="00C37177"/>
    <w:rsid w:val="00C449A9"/>
    <w:rsid w:val="00C473F1"/>
    <w:rsid w:val="00C4745D"/>
    <w:rsid w:val="00C65EAD"/>
    <w:rsid w:val="00C668BB"/>
    <w:rsid w:val="00C677AA"/>
    <w:rsid w:val="00C73755"/>
    <w:rsid w:val="00C755B4"/>
    <w:rsid w:val="00C947C0"/>
    <w:rsid w:val="00CA4EB8"/>
    <w:rsid w:val="00CB6496"/>
    <w:rsid w:val="00CC3A2B"/>
    <w:rsid w:val="00CD113B"/>
    <w:rsid w:val="00CD5FBF"/>
    <w:rsid w:val="00CE7559"/>
    <w:rsid w:val="00D01B42"/>
    <w:rsid w:val="00D11D28"/>
    <w:rsid w:val="00D16CA3"/>
    <w:rsid w:val="00D22BFB"/>
    <w:rsid w:val="00D2389B"/>
    <w:rsid w:val="00D24099"/>
    <w:rsid w:val="00D260A6"/>
    <w:rsid w:val="00D279F7"/>
    <w:rsid w:val="00D27C82"/>
    <w:rsid w:val="00D33F52"/>
    <w:rsid w:val="00D34849"/>
    <w:rsid w:val="00D4621E"/>
    <w:rsid w:val="00D46302"/>
    <w:rsid w:val="00D50338"/>
    <w:rsid w:val="00D5342A"/>
    <w:rsid w:val="00D60433"/>
    <w:rsid w:val="00D604C4"/>
    <w:rsid w:val="00D606C0"/>
    <w:rsid w:val="00D65F98"/>
    <w:rsid w:val="00D70D29"/>
    <w:rsid w:val="00D93E5B"/>
    <w:rsid w:val="00D977C5"/>
    <w:rsid w:val="00DA5EEF"/>
    <w:rsid w:val="00DA7202"/>
    <w:rsid w:val="00DC233C"/>
    <w:rsid w:val="00DC4CC0"/>
    <w:rsid w:val="00DC7137"/>
    <w:rsid w:val="00DC72EC"/>
    <w:rsid w:val="00DD1001"/>
    <w:rsid w:val="00DD2C7F"/>
    <w:rsid w:val="00DD4D51"/>
    <w:rsid w:val="00DD677B"/>
    <w:rsid w:val="00DD6E58"/>
    <w:rsid w:val="00DF5471"/>
    <w:rsid w:val="00DF7B6B"/>
    <w:rsid w:val="00E06CF4"/>
    <w:rsid w:val="00E11A06"/>
    <w:rsid w:val="00E21A86"/>
    <w:rsid w:val="00E220CE"/>
    <w:rsid w:val="00E315FD"/>
    <w:rsid w:val="00E44BBB"/>
    <w:rsid w:val="00E464E6"/>
    <w:rsid w:val="00E63347"/>
    <w:rsid w:val="00E71696"/>
    <w:rsid w:val="00EA539F"/>
    <w:rsid w:val="00EB4975"/>
    <w:rsid w:val="00ED72AD"/>
    <w:rsid w:val="00EF2441"/>
    <w:rsid w:val="00F1022D"/>
    <w:rsid w:val="00F11F8A"/>
    <w:rsid w:val="00F168B7"/>
    <w:rsid w:val="00F32134"/>
    <w:rsid w:val="00F34096"/>
    <w:rsid w:val="00F35207"/>
    <w:rsid w:val="00F37906"/>
    <w:rsid w:val="00F465EE"/>
    <w:rsid w:val="00F5358B"/>
    <w:rsid w:val="00F64419"/>
    <w:rsid w:val="00F65740"/>
    <w:rsid w:val="00F71261"/>
    <w:rsid w:val="00F76682"/>
    <w:rsid w:val="00F81BB2"/>
    <w:rsid w:val="00F85FFF"/>
    <w:rsid w:val="00FA35C5"/>
    <w:rsid w:val="00FA61CE"/>
    <w:rsid w:val="00FB003F"/>
    <w:rsid w:val="00FB4D5A"/>
    <w:rsid w:val="00FB736C"/>
    <w:rsid w:val="00FD0410"/>
    <w:rsid w:val="00FE75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655BF3"/>
  <w15:docId w15:val="{9648BC60-F167-40AE-BC4A-E66C40F3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uiPriority w:val="9"/>
    <w:qFormat/>
    <w:rsid w:val="00E7169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716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010B45"/>
    <w:pPr>
      <w:ind w:left="720"/>
      <w:contextualSpacing/>
    </w:pPr>
  </w:style>
  <w:style w:type="paragraph" w:customStyle="1" w:styleId="Default">
    <w:name w:val="Default"/>
    <w:rsid w:val="001C6246"/>
    <w:pPr>
      <w:autoSpaceDE w:val="0"/>
      <w:autoSpaceDN w:val="0"/>
      <w:adjustRightInd w:val="0"/>
      <w:spacing w:after="0" w:line="240" w:lineRule="auto"/>
    </w:pPr>
    <w:rPr>
      <w:rFonts w:ascii="Calibri" w:hAnsi="Calibri" w:cs="Calibri"/>
      <w:color w:val="000000"/>
      <w:sz w:val="24"/>
      <w:szCs w:val="24"/>
    </w:rPr>
  </w:style>
  <w:style w:type="table" w:customStyle="1" w:styleId="GridTable4-Accent11">
    <w:name w:val="Grid Table 4 - Accent 11"/>
    <w:basedOn w:val="TableNormal"/>
    <w:uiPriority w:val="49"/>
    <w:rsid w:val="001C624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1">
    <w:name w:val="Grid Table 5 Dark - Accent 11"/>
    <w:basedOn w:val="TableNormal"/>
    <w:uiPriority w:val="50"/>
    <w:rsid w:val="001C624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EndnoteText">
    <w:name w:val="endnote text"/>
    <w:basedOn w:val="Normal"/>
    <w:link w:val="EndnoteTextChar"/>
    <w:uiPriority w:val="99"/>
    <w:semiHidden/>
    <w:unhideWhenUsed/>
    <w:rsid w:val="00CE755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E7559"/>
    <w:rPr>
      <w:rFonts w:eastAsiaTheme="minorEastAsia"/>
      <w:sz w:val="20"/>
      <w:szCs w:val="20"/>
    </w:rPr>
  </w:style>
  <w:style w:type="character" w:styleId="EndnoteReference">
    <w:name w:val="endnote reference"/>
    <w:basedOn w:val="DefaultParagraphFont"/>
    <w:uiPriority w:val="99"/>
    <w:semiHidden/>
    <w:unhideWhenUsed/>
    <w:rsid w:val="00CE7559"/>
    <w:rPr>
      <w:vertAlign w:val="superscript"/>
    </w:rPr>
  </w:style>
  <w:style w:type="paragraph" w:styleId="FootnoteText">
    <w:name w:val="footnote text"/>
    <w:basedOn w:val="Normal"/>
    <w:link w:val="FootnoteTextChar"/>
    <w:uiPriority w:val="99"/>
    <w:unhideWhenUsed/>
    <w:rsid w:val="00CE7559"/>
    <w:pPr>
      <w:spacing w:after="0" w:line="240" w:lineRule="auto"/>
    </w:pPr>
    <w:rPr>
      <w:sz w:val="20"/>
      <w:szCs w:val="20"/>
    </w:rPr>
  </w:style>
  <w:style w:type="character" w:customStyle="1" w:styleId="FootnoteTextChar">
    <w:name w:val="Footnote Text Char"/>
    <w:basedOn w:val="DefaultParagraphFont"/>
    <w:link w:val="FootnoteText"/>
    <w:uiPriority w:val="99"/>
    <w:rsid w:val="00CE7559"/>
    <w:rPr>
      <w:rFonts w:eastAsiaTheme="minorEastAsia"/>
      <w:sz w:val="20"/>
      <w:szCs w:val="20"/>
    </w:rPr>
  </w:style>
  <w:style w:type="character" w:styleId="FootnoteReference">
    <w:name w:val="footnote reference"/>
    <w:basedOn w:val="DefaultParagraphFont"/>
    <w:uiPriority w:val="99"/>
    <w:unhideWhenUsed/>
    <w:rsid w:val="00CE7559"/>
    <w:rPr>
      <w:vertAlign w:val="superscript"/>
    </w:rPr>
  </w:style>
  <w:style w:type="paragraph" w:styleId="CommentSubject">
    <w:name w:val="annotation subject"/>
    <w:basedOn w:val="CommentText"/>
    <w:next w:val="CommentText"/>
    <w:link w:val="CommentSubjectChar"/>
    <w:uiPriority w:val="99"/>
    <w:semiHidden/>
    <w:unhideWhenUsed/>
    <w:rsid w:val="0066798A"/>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66798A"/>
    <w:rPr>
      <w:rFonts w:eastAsiaTheme="minorEastAsia"/>
      <w:b/>
      <w:bCs/>
      <w:sz w:val="20"/>
      <w:szCs w:val="20"/>
    </w:rPr>
  </w:style>
  <w:style w:type="paragraph" w:styleId="Revision">
    <w:name w:val="Revision"/>
    <w:hidden/>
    <w:uiPriority w:val="99"/>
    <w:semiHidden/>
    <w:rsid w:val="00901408"/>
    <w:pPr>
      <w:spacing w:after="0" w:line="240" w:lineRule="auto"/>
    </w:pPr>
    <w:rPr>
      <w:rFonts w:eastAsiaTheme="minorEastAsia"/>
    </w:rPr>
  </w:style>
  <w:style w:type="paragraph" w:styleId="NormalWeb">
    <w:name w:val="Normal (Web)"/>
    <w:basedOn w:val="Normal"/>
    <w:uiPriority w:val="99"/>
    <w:semiHidden/>
    <w:unhideWhenUsed/>
    <w:rsid w:val="009E1B74"/>
    <w:pPr>
      <w:spacing w:before="100" w:beforeAutospacing="1" w:after="100" w:afterAutospacing="1" w:line="240" w:lineRule="auto"/>
    </w:pPr>
    <w:rPr>
      <w:rFonts w:ascii="Times New Roman" w:eastAsia="MS PGothic" w:hAnsi="Times New Roman" w:cs="Times New Roman"/>
      <w:sz w:val="24"/>
      <w:szCs w:val="24"/>
      <w:lang w:eastAsia="ja-JP"/>
    </w:rPr>
  </w:style>
  <w:style w:type="paragraph" w:customStyle="1" w:styleId="xmsonormal">
    <w:name w:val="x_msonormal"/>
    <w:basedOn w:val="Normal"/>
    <w:rsid w:val="00B8621A"/>
    <w:pPr>
      <w:spacing w:before="100" w:beforeAutospacing="1" w:after="100" w:afterAutospacing="1" w:line="240" w:lineRule="auto"/>
    </w:pPr>
    <w:rPr>
      <w:rFonts w:ascii="Times" w:eastAsiaTheme="minorHAnsi" w:hAnsi="Times"/>
      <w:sz w:val="20"/>
      <w:szCs w:val="20"/>
    </w:rPr>
  </w:style>
  <w:style w:type="character" w:customStyle="1" w:styleId="Heading2Char">
    <w:name w:val="Heading 2 Char"/>
    <w:basedOn w:val="DefaultParagraphFont"/>
    <w:link w:val="Heading2"/>
    <w:uiPriority w:val="9"/>
    <w:rsid w:val="00E71696"/>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E71696"/>
    <w:rPr>
      <w:rFonts w:asciiTheme="majorHAnsi" w:eastAsiaTheme="majorEastAsia" w:hAnsiTheme="majorHAnsi" w:cstheme="majorBidi"/>
      <w:color w:val="365F91" w:themeColor="accent1" w:themeShade="BF"/>
      <w:sz w:val="32"/>
      <w:szCs w:val="32"/>
    </w:rPr>
  </w:style>
  <w:style w:type="character" w:styleId="IntenseReference">
    <w:name w:val="Intense Reference"/>
    <w:basedOn w:val="DefaultParagraphFont"/>
    <w:uiPriority w:val="32"/>
    <w:qFormat/>
    <w:rsid w:val="00E71696"/>
    <w:rPr>
      <w:b/>
      <w:bCs/>
      <w:smallCaps/>
      <w:color w:val="4F81BD" w:themeColor="accent1"/>
      <w:spacing w:val="5"/>
    </w:rPr>
  </w:style>
  <w:style w:type="paragraph" w:styleId="Subtitle">
    <w:name w:val="Subtitle"/>
    <w:basedOn w:val="Normal"/>
    <w:next w:val="Normal"/>
    <w:link w:val="SubtitleChar"/>
    <w:uiPriority w:val="11"/>
    <w:qFormat/>
    <w:rsid w:val="00E7169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E71696"/>
    <w:rPr>
      <w:rFonts w:eastAsiaTheme="minorEastAsia"/>
      <w:color w:val="5A5A5A" w:themeColor="text1" w:themeTint="A5"/>
      <w:spacing w:val="15"/>
    </w:rPr>
  </w:style>
  <w:style w:type="character" w:styleId="SubtleEmphasis">
    <w:name w:val="Subtle Emphasis"/>
    <w:basedOn w:val="DefaultParagraphFont"/>
    <w:uiPriority w:val="19"/>
    <w:qFormat/>
    <w:rsid w:val="00E71696"/>
    <w:rPr>
      <w:i/>
      <w:iCs/>
      <w:color w:val="404040" w:themeColor="text1" w:themeTint="BF"/>
    </w:rPr>
  </w:style>
  <w:style w:type="paragraph" w:styleId="IntenseQuote">
    <w:name w:val="Intense Quote"/>
    <w:basedOn w:val="Normal"/>
    <w:next w:val="Normal"/>
    <w:link w:val="IntenseQuoteChar"/>
    <w:uiPriority w:val="30"/>
    <w:qFormat/>
    <w:rsid w:val="00E7169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71696"/>
    <w:rPr>
      <w:rFonts w:eastAsiaTheme="minorEastAsia"/>
      <w:i/>
      <w:iCs/>
      <w:color w:val="4F81BD" w:themeColor="accent1"/>
    </w:rPr>
  </w:style>
  <w:style w:type="paragraph" w:styleId="Title">
    <w:name w:val="Title"/>
    <w:basedOn w:val="Normal"/>
    <w:next w:val="Normal"/>
    <w:link w:val="TitleChar"/>
    <w:uiPriority w:val="10"/>
    <w:qFormat/>
    <w:rsid w:val="00A343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437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334090">
      <w:bodyDiv w:val="1"/>
      <w:marLeft w:val="0"/>
      <w:marRight w:val="0"/>
      <w:marTop w:val="0"/>
      <w:marBottom w:val="0"/>
      <w:divBdr>
        <w:top w:val="none" w:sz="0" w:space="0" w:color="auto"/>
        <w:left w:val="none" w:sz="0" w:space="0" w:color="auto"/>
        <w:bottom w:val="none" w:sz="0" w:space="0" w:color="auto"/>
        <w:right w:val="none" w:sz="0" w:space="0" w:color="auto"/>
      </w:divBdr>
    </w:div>
    <w:div w:id="517743196">
      <w:bodyDiv w:val="1"/>
      <w:marLeft w:val="0"/>
      <w:marRight w:val="0"/>
      <w:marTop w:val="0"/>
      <w:marBottom w:val="0"/>
      <w:divBdr>
        <w:top w:val="none" w:sz="0" w:space="0" w:color="auto"/>
        <w:left w:val="none" w:sz="0" w:space="0" w:color="auto"/>
        <w:bottom w:val="none" w:sz="0" w:space="0" w:color="auto"/>
        <w:right w:val="none" w:sz="0" w:space="0" w:color="auto"/>
      </w:divBdr>
    </w:div>
    <w:div w:id="571503662">
      <w:bodyDiv w:val="1"/>
      <w:marLeft w:val="0"/>
      <w:marRight w:val="0"/>
      <w:marTop w:val="0"/>
      <w:marBottom w:val="0"/>
      <w:divBdr>
        <w:top w:val="none" w:sz="0" w:space="0" w:color="auto"/>
        <w:left w:val="none" w:sz="0" w:space="0" w:color="auto"/>
        <w:bottom w:val="none" w:sz="0" w:space="0" w:color="auto"/>
        <w:right w:val="none" w:sz="0" w:space="0" w:color="auto"/>
      </w:divBdr>
      <w:divsChild>
        <w:div w:id="709912891">
          <w:marLeft w:val="0"/>
          <w:marRight w:val="0"/>
          <w:marTop w:val="0"/>
          <w:marBottom w:val="0"/>
          <w:divBdr>
            <w:top w:val="none" w:sz="0" w:space="0" w:color="auto"/>
            <w:left w:val="none" w:sz="0" w:space="0" w:color="auto"/>
            <w:bottom w:val="none" w:sz="0" w:space="0" w:color="auto"/>
            <w:right w:val="none" w:sz="0" w:space="0" w:color="auto"/>
          </w:divBdr>
          <w:divsChild>
            <w:div w:id="1956787835">
              <w:marLeft w:val="0"/>
              <w:marRight w:val="0"/>
              <w:marTop w:val="0"/>
              <w:marBottom w:val="0"/>
              <w:divBdr>
                <w:top w:val="none" w:sz="0" w:space="0" w:color="auto"/>
                <w:left w:val="none" w:sz="0" w:space="0" w:color="auto"/>
                <w:bottom w:val="none" w:sz="0" w:space="0" w:color="auto"/>
                <w:right w:val="none" w:sz="0" w:space="0" w:color="auto"/>
              </w:divBdr>
              <w:divsChild>
                <w:div w:id="167321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227991">
      <w:bodyDiv w:val="1"/>
      <w:marLeft w:val="0"/>
      <w:marRight w:val="0"/>
      <w:marTop w:val="0"/>
      <w:marBottom w:val="0"/>
      <w:divBdr>
        <w:top w:val="none" w:sz="0" w:space="0" w:color="auto"/>
        <w:left w:val="none" w:sz="0" w:space="0" w:color="auto"/>
        <w:bottom w:val="none" w:sz="0" w:space="0" w:color="auto"/>
        <w:right w:val="none" w:sz="0" w:space="0" w:color="auto"/>
      </w:divBdr>
    </w:div>
    <w:div w:id="1634486495">
      <w:bodyDiv w:val="1"/>
      <w:marLeft w:val="0"/>
      <w:marRight w:val="0"/>
      <w:marTop w:val="0"/>
      <w:marBottom w:val="0"/>
      <w:divBdr>
        <w:top w:val="none" w:sz="0" w:space="0" w:color="auto"/>
        <w:left w:val="none" w:sz="0" w:space="0" w:color="auto"/>
        <w:bottom w:val="none" w:sz="0" w:space="0" w:color="auto"/>
        <w:right w:val="none" w:sz="0" w:space="0" w:color="auto"/>
      </w:divBdr>
    </w:div>
    <w:div w:id="2129275198">
      <w:bodyDiv w:val="1"/>
      <w:marLeft w:val="0"/>
      <w:marRight w:val="0"/>
      <w:marTop w:val="0"/>
      <w:marBottom w:val="0"/>
      <w:divBdr>
        <w:top w:val="none" w:sz="0" w:space="0" w:color="auto"/>
        <w:left w:val="none" w:sz="0" w:space="0" w:color="auto"/>
        <w:bottom w:val="none" w:sz="0" w:space="0" w:color="auto"/>
        <w:right w:val="none" w:sz="0" w:space="0" w:color="auto"/>
      </w:divBdr>
      <w:divsChild>
        <w:div w:id="994840666">
          <w:marLeft w:val="1080"/>
          <w:marRight w:val="0"/>
          <w:marTop w:val="120"/>
          <w:marBottom w:val="0"/>
          <w:divBdr>
            <w:top w:val="none" w:sz="0" w:space="0" w:color="auto"/>
            <w:left w:val="none" w:sz="0" w:space="0" w:color="auto"/>
            <w:bottom w:val="none" w:sz="0" w:space="0" w:color="auto"/>
            <w:right w:val="none" w:sz="0" w:space="0" w:color="auto"/>
          </w:divBdr>
        </w:div>
        <w:div w:id="1612469641">
          <w:marLeft w:val="1080"/>
          <w:marRight w:val="0"/>
          <w:marTop w:val="120"/>
          <w:marBottom w:val="0"/>
          <w:divBdr>
            <w:top w:val="none" w:sz="0" w:space="0" w:color="auto"/>
            <w:left w:val="none" w:sz="0" w:space="0" w:color="auto"/>
            <w:bottom w:val="none" w:sz="0" w:space="0" w:color="auto"/>
            <w:right w:val="none" w:sz="0" w:space="0" w:color="auto"/>
          </w:divBdr>
        </w:div>
        <w:div w:id="1891722661">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enantrecognition@energystar.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ngress.gov/bill/114th-congress/senate-bill/535/text/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enantrecognition@energystar.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tenantrecognition@energystar.gov"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nergystar.gov/product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aceee.org/files/proceedings/2012/data/papers/0193-000277.pdf" TargetMode="External"/><Relationship Id="rId2" Type="http://schemas.openxmlformats.org/officeDocument/2006/relationships/hyperlink" Target="http://energy.gov/sites/prod/files/2016/04/f30/DOE%20-%20Energy%20Efficiency%20in%20Separate%20Tenant%20Spaces%20-%20Exec%20Summary_0.pdf" TargetMode="External"/><Relationship Id="rId1" Type="http://schemas.openxmlformats.org/officeDocument/2006/relationships/hyperlink" Target="https://www.gpo.gov/fdsys/pkg/PLAW-114publ11/pdf/PLAW-114publ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2.xml><?xml version="1.0" encoding="utf-8"?>
<?mso-contentType ?>
<SharedContentType xmlns="Microsoft.SharePoint.Taxonomy.ContentTypeSync" SourceId="3d0ec70f-4850-419e-ba88-1a2e9ef4e89e" ContentTypeId="0x010100B80CB6684E0D2F408D230F308CBB847F0302" PreviousValue="false"/>
</file>

<file path=customXml/item3.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2.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3.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5.xml><?xml version="1.0" encoding="utf-8"?>
<ds:datastoreItem xmlns:ds="http://schemas.openxmlformats.org/officeDocument/2006/customXml" ds:itemID="{B06183E5-F05E-4731-BD80-605EAE3D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2591</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17326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 Cindy</dc:creator>
  <cp:keywords/>
  <dc:description/>
  <cp:lastModifiedBy>Hodges, Lauren</cp:lastModifiedBy>
  <cp:revision>2</cp:revision>
  <cp:lastPrinted>2016-09-23T17:53:00Z</cp:lastPrinted>
  <dcterms:created xsi:type="dcterms:W3CDTF">2016-10-04T13:02:00Z</dcterms:created>
  <dcterms:modified xsi:type="dcterms:W3CDTF">2016-10-04T13:02:00Z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